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2A12">
      <w:pPr>
        <w:pStyle w:val="15"/>
        <w:ind w:firstLine="420"/>
        <w:outlineLvl w:val="0"/>
        <w:rPr>
          <w:rFonts w:hint="eastAsia"/>
        </w:rPr>
      </w:pPr>
      <w:bookmarkStart w:id="0" w:name="_Toc6261"/>
      <w:bookmarkStart w:id="1" w:name="_Toc7208"/>
      <w:bookmarkStart w:id="2" w:name="_Toc7037"/>
      <w:bookmarkStart w:id="3" w:name="_Toc8792"/>
      <w:bookmarkStart w:id="4" w:name="_Toc22838"/>
      <w:bookmarkStart w:id="5" w:name="_Toc19381"/>
      <w:bookmarkStart w:id="6" w:name="_Toc21424"/>
      <w:bookmarkStart w:id="7" w:name="_Toc6168"/>
      <w:bookmarkStart w:id="8" w:name="_Toc12083"/>
      <w:bookmarkStart w:id="9" w:name="_Toc11139"/>
      <w:bookmarkStart w:id="10" w:name="_Toc20416"/>
      <w:bookmarkStart w:id="11" w:name="_Toc29263"/>
      <w:bookmarkStart w:id="12" w:name="_Toc13563"/>
      <w:bookmarkStart w:id="13" w:name="_Toc23788"/>
      <w:bookmarkStart w:id="14" w:name="_Toc6100"/>
      <w:bookmarkStart w:id="15" w:name="_Toc4367"/>
      <w:bookmarkStart w:id="16" w:name="_Toc19837"/>
      <w:bookmarkStart w:id="17" w:name="_Toc16314"/>
      <w:bookmarkStart w:id="18" w:name="_Toc16861"/>
      <w:bookmarkStart w:id="19" w:name="_Toc88079296"/>
      <w:bookmarkStart w:id="20" w:name="_Toc16426"/>
      <w:bookmarkStart w:id="21" w:name="_Toc30073"/>
      <w:bookmarkStart w:id="22" w:name="_Toc29706"/>
      <w:bookmarkStart w:id="23" w:name="_Toc26320"/>
      <w:r>
        <w:rPr>
          <w:rFonts w:hint="eastAsia"/>
        </w:rPr>
        <w:t>伦理送审指南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D0745D7">
      <w:pPr>
        <w:ind w:firstLine="480"/>
      </w:pPr>
      <w:r>
        <w:rPr>
          <w:rFonts w:hint="eastAsia"/>
        </w:rPr>
        <w:t>为帮助研究者／申办者提交伦理审查的送审材料，根据《涉及人的生命科学和医学研究伦理审查办法》（国卫科教发〔2023〕4号）、《涉及人的生物医学研究伦理审查办法》（国家卫生和计划生育委员会令第11号）</w:t>
      </w:r>
      <w:r>
        <w:rPr>
          <w:rFonts w:hint="eastAsia"/>
          <w:lang w:val="en-US" w:eastAsia="zh-CN"/>
        </w:rPr>
        <w:t>等法规</w:t>
      </w:r>
      <w:r>
        <w:rPr>
          <w:rFonts w:hint="eastAsia"/>
        </w:rPr>
        <w:t>，制定本指南。</w:t>
      </w:r>
    </w:p>
    <w:p w14:paraId="523AD17B">
      <w:pPr>
        <w:pStyle w:val="16"/>
        <w:ind w:firstLine="480"/>
        <w:outlineLvl w:val="9"/>
        <w:rPr>
          <w:rFonts w:hint="eastAsia" w:cs="宋体"/>
          <w:b/>
          <w:bCs/>
          <w:sz w:val="24"/>
          <w:szCs w:val="24"/>
        </w:rPr>
      </w:pPr>
      <w:r>
        <w:rPr>
          <w:rFonts w:hint="eastAsia"/>
        </w:rPr>
        <w:t>一、</w:t>
      </w:r>
      <w:r>
        <w:rPr>
          <w:rFonts w:hint="eastAsia" w:cs="宋体"/>
          <w:b/>
          <w:bCs/>
          <w:sz w:val="24"/>
          <w:szCs w:val="24"/>
          <w:lang w:val="en-US" w:eastAsia="zh-CN"/>
        </w:rPr>
        <w:t>伦理审查范围</w:t>
      </w:r>
    </w:p>
    <w:p w14:paraId="289D1E0F">
      <w:pPr>
        <w:pStyle w:val="16"/>
        <w:ind w:firstLine="480"/>
        <w:outlineLvl w:val="9"/>
        <w:rPr>
          <w:rFonts w:hint="eastAsia" w:eastAsiaTheme="majorEastAsia"/>
          <w:szCs w:val="24"/>
          <w:lang w:val="zh-CN"/>
        </w:rPr>
      </w:pPr>
      <w:r>
        <w:rPr>
          <w:rFonts w:hint="eastAsia" w:eastAsiaTheme="majorEastAsia"/>
          <w:szCs w:val="24"/>
          <w:lang w:val="zh-CN"/>
        </w:rPr>
        <w:t>适用于本院开展的涉及人的生命科学和医学研究，</w:t>
      </w:r>
      <w:r>
        <w:rPr>
          <w:rFonts w:hint="eastAsia" w:eastAsiaTheme="majorEastAsia"/>
          <w:szCs w:val="24"/>
          <w:lang w:val="en-US" w:eastAsia="zh-CN"/>
        </w:rPr>
        <w:t>包括</w:t>
      </w:r>
      <w:r>
        <w:rPr>
          <w:rFonts w:hint="eastAsia" w:eastAsiaTheme="majorEastAsia"/>
          <w:szCs w:val="24"/>
        </w:rPr>
        <w:t>药物注册临床试验</w:t>
      </w:r>
      <w:r>
        <w:rPr>
          <w:rFonts w:hint="eastAsia" w:eastAsiaTheme="majorEastAsia"/>
          <w:szCs w:val="24"/>
          <w:lang w:eastAsia="zh-CN"/>
        </w:rPr>
        <w:t>、</w:t>
      </w:r>
      <w:r>
        <w:rPr>
          <w:rFonts w:hint="eastAsia" w:eastAsiaTheme="majorEastAsia"/>
          <w:szCs w:val="24"/>
        </w:rPr>
        <w:t>医疗器械注册临床试验</w:t>
      </w:r>
      <w:r>
        <w:rPr>
          <w:rFonts w:hint="eastAsia" w:eastAsiaTheme="majorEastAsia"/>
          <w:szCs w:val="24"/>
          <w:lang w:eastAsia="zh-CN"/>
        </w:rPr>
        <w:t>、</w:t>
      </w:r>
      <w:r>
        <w:rPr>
          <w:rFonts w:hint="eastAsia" w:eastAsiaTheme="majorEastAsia"/>
          <w:szCs w:val="24"/>
        </w:rPr>
        <w:t>其他涉及人的生物医学研究项目</w:t>
      </w:r>
      <w:r>
        <w:rPr>
          <w:rFonts w:hint="eastAsia" w:eastAsiaTheme="majorEastAsia"/>
          <w:szCs w:val="24"/>
          <w:lang w:val="en-US" w:eastAsia="zh-CN"/>
        </w:rPr>
        <w:t>和</w:t>
      </w:r>
      <w:r>
        <w:rPr>
          <w:rFonts w:hint="eastAsia" w:eastAsiaTheme="majorEastAsia"/>
          <w:szCs w:val="24"/>
        </w:rPr>
        <w:t>生物样本/数据库建设</w:t>
      </w:r>
      <w:r>
        <w:rPr>
          <w:rFonts w:hint="eastAsia" w:eastAsiaTheme="majorEastAsia"/>
          <w:szCs w:val="24"/>
          <w:lang w:val="en-US" w:eastAsia="zh-CN"/>
        </w:rPr>
        <w:t>等</w:t>
      </w:r>
      <w:r>
        <w:rPr>
          <w:rFonts w:hint="eastAsia" w:eastAsiaTheme="majorEastAsia"/>
          <w:szCs w:val="24"/>
          <w:lang w:val="zh-CN"/>
        </w:rPr>
        <w:t>。</w:t>
      </w:r>
    </w:p>
    <w:p w14:paraId="1F509C3B">
      <w:pPr>
        <w:pStyle w:val="16"/>
        <w:ind w:firstLine="480"/>
        <w:outlineLvl w:val="9"/>
        <w:rPr>
          <w:rFonts w:hint="eastAsia" w:eastAsiaTheme="majorEastAsia"/>
          <w:szCs w:val="24"/>
          <w:lang w:val="zh-CN"/>
        </w:rPr>
      </w:pPr>
      <w:r>
        <w:rPr>
          <w:rFonts w:hint="eastAsia" w:eastAsiaTheme="majorEastAsia"/>
          <w:szCs w:val="24"/>
          <w:lang w:val="zh-CN"/>
        </w:rPr>
        <w:t>所称涉及人的生命科学和医学研究是指以人为受试者或者使用人（统称研究参与者）的生物样本、信息数据（包括健康记录、行为等）开展的以下研究活动：</w:t>
      </w:r>
    </w:p>
    <w:p w14:paraId="23DF625B">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采用物理学、化学、生物学、中医药学等方法对人的生殖、生长、发育、衰老等进行研究的活动；</w:t>
      </w:r>
    </w:p>
    <w:p w14:paraId="3BCB7555">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采用物理学、化学、生物学、中医药学、心理学等方法对人的生理、心理行为、病理现象、疾病病因和发病机制，以及疾病的预防、诊断、治疗和康复等进行研究的活动；</w:t>
      </w:r>
    </w:p>
    <w:p w14:paraId="29E586AA">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采用新技术或者新产品在人体上进行试验研究的活动；</w:t>
      </w:r>
    </w:p>
    <w:p w14:paraId="2E802B23">
      <w:pPr>
        <w:pStyle w:val="16"/>
        <w:numPr>
          <w:ilvl w:val="0"/>
          <w:numId w:val="3"/>
        </w:numPr>
        <w:ind w:left="0" w:leftChars="0" w:firstLine="480" w:firstLineChars="200"/>
        <w:outlineLvl w:val="9"/>
        <w:rPr>
          <w:rFonts w:hint="eastAsia" w:eastAsiaTheme="majorEastAsia"/>
          <w:szCs w:val="24"/>
          <w:lang w:val="zh-CN"/>
        </w:rPr>
      </w:pPr>
      <w:r>
        <w:rPr>
          <w:rFonts w:hint="eastAsia" w:eastAsiaTheme="majorEastAsia"/>
          <w:szCs w:val="24"/>
          <w:lang w:val="zh-CN"/>
        </w:rPr>
        <w:t>采用流行病学、社会学、心理学等方法收集、记录、使用、报告或者储存有关人的涉及生命科学和医学问题的生物样本、信息数据（包括健康记录、行为等）等科学研究资料的活动。</w:t>
      </w:r>
    </w:p>
    <w:p w14:paraId="4FE8D344">
      <w:pPr>
        <w:pStyle w:val="16"/>
        <w:numPr>
          <w:ilvl w:val="0"/>
          <w:numId w:val="4"/>
        </w:numPr>
        <w:ind w:firstLine="480"/>
        <w:outlineLvl w:val="9"/>
        <w:rPr>
          <w:rFonts w:hint="eastAsia"/>
          <w:b/>
          <w:bCs w:val="0"/>
          <w:lang w:val="en-US" w:eastAsia="zh-CN"/>
        </w:rPr>
      </w:pPr>
      <w:r>
        <w:rPr>
          <w:rFonts w:hint="eastAsia"/>
          <w:b/>
          <w:bCs w:val="0"/>
          <w:lang w:val="en-US" w:eastAsia="zh-CN"/>
        </w:rPr>
        <w:t>免除伦理审查范围</w:t>
      </w:r>
    </w:p>
    <w:p w14:paraId="43250CAE">
      <w:pPr>
        <w:pStyle w:val="17"/>
        <w:numPr>
          <w:ilvl w:val="-1"/>
          <w:numId w:val="0"/>
        </w:numPr>
        <w:ind w:left="0" w:leftChars="0" w:firstLine="480" w:firstLineChars="200"/>
        <w:rPr>
          <w:rFonts w:hint="eastAsia"/>
        </w:rPr>
      </w:pPr>
      <w:r>
        <w:rPr>
          <w:rFonts w:hint="eastAsia"/>
        </w:rPr>
        <w:t>使用人的信息数据或生物样本开展以下情形的涉及人的生命科学和医学研究，</w:t>
      </w:r>
      <w:r>
        <w:rPr>
          <w:rFonts w:hint="eastAsia"/>
          <w:b/>
          <w:bCs/>
        </w:rPr>
        <w:t>不对人体造成伤害、不涉及敏感个人信息或商业利益的，可免除伦理审查</w:t>
      </w:r>
      <w:r>
        <w:rPr>
          <w:rFonts w:hint="eastAsia"/>
        </w:rPr>
        <w:t>：</w:t>
      </w:r>
    </w:p>
    <w:p w14:paraId="7D067C4B">
      <w:pPr>
        <w:pStyle w:val="17"/>
        <w:numPr>
          <w:ilvl w:val="0"/>
          <w:numId w:val="5"/>
        </w:numPr>
        <w:ind w:left="845" w:leftChars="0" w:hanging="425" w:firstLineChars="0"/>
        <w:rPr>
          <w:rFonts w:hint="eastAsia"/>
        </w:rPr>
      </w:pPr>
      <w:r>
        <w:rPr>
          <w:rFonts w:hint="eastAsia"/>
        </w:rPr>
        <w:t xml:space="preserve"> 利用合法获得的公开数据，或通过观察且不干扰公共行为产生的数据进行研究的；</w:t>
      </w:r>
    </w:p>
    <w:p w14:paraId="7FD4BC81">
      <w:pPr>
        <w:pStyle w:val="17"/>
        <w:numPr>
          <w:ilvl w:val="0"/>
          <w:numId w:val="5"/>
        </w:numPr>
        <w:ind w:left="845" w:leftChars="0" w:hanging="425" w:firstLineChars="0"/>
        <w:outlineLvl w:val="9"/>
        <w:rPr>
          <w:rFonts w:hint="eastAsia"/>
        </w:rPr>
      </w:pPr>
      <w:r>
        <w:rPr>
          <w:rFonts w:hint="eastAsia"/>
        </w:rPr>
        <w:t xml:space="preserve"> 使用匿名化的信息数据开展研究的；</w:t>
      </w:r>
    </w:p>
    <w:p w14:paraId="5C0A7A05">
      <w:pPr>
        <w:pStyle w:val="17"/>
        <w:numPr>
          <w:ilvl w:val="0"/>
          <w:numId w:val="5"/>
        </w:numPr>
        <w:ind w:left="845" w:leftChars="0" w:hanging="425" w:firstLineChars="0"/>
        <w:rPr>
          <w:rFonts w:hint="eastAsia"/>
        </w:rPr>
      </w:pPr>
      <w:r>
        <w:rPr>
          <w:rFonts w:hint="eastAsia"/>
        </w:rPr>
        <w:t xml:space="preserve"> 使用已有的人的生物样本开展研究，所使用的生物样本来源符合监管要求和伦理原则，研究相关内容和目的在规范的知情同意范围内，且不涉及使用人的生殖细胞、胚胎和生殖性克隆、嵌合、可遗传的基因操作等活动的；</w:t>
      </w:r>
    </w:p>
    <w:p w14:paraId="6B5DC40C">
      <w:pPr>
        <w:pStyle w:val="17"/>
        <w:numPr>
          <w:ilvl w:val="0"/>
          <w:numId w:val="5"/>
        </w:numPr>
        <w:ind w:left="845" w:leftChars="0" w:hanging="425" w:firstLineChars="0"/>
        <w:outlineLvl w:val="9"/>
        <w:rPr>
          <w:rFonts w:hint="eastAsia"/>
          <w:lang w:val="en-US" w:eastAsia="zh-CN"/>
        </w:rPr>
      </w:pPr>
      <w:r>
        <w:rPr>
          <w:rFonts w:hint="eastAsia"/>
        </w:rPr>
        <w:t xml:space="preserve"> 使用生物样本库来源的人源细胞株或者细胞系等开展研究，研究相关内容和目的在提供方授权范围内，且不涉及人胚胎和生殖性克隆、嵌合、可遗传的基因操作等活动</w:t>
      </w:r>
      <w:r>
        <w:rPr>
          <w:rFonts w:hint="eastAsia"/>
          <w:lang w:eastAsia="zh-CN"/>
        </w:rPr>
        <w:t>。</w:t>
      </w:r>
    </w:p>
    <w:p w14:paraId="29920D19">
      <w:pPr>
        <w:pStyle w:val="16"/>
        <w:numPr>
          <w:ilvl w:val="0"/>
          <w:numId w:val="4"/>
        </w:numPr>
        <w:ind w:firstLine="480"/>
        <w:outlineLvl w:val="9"/>
        <w:rPr>
          <w:rFonts w:hint="eastAsia"/>
          <w:b/>
          <w:bCs w:val="0"/>
          <w:lang w:val="en-US" w:eastAsia="zh-CN"/>
        </w:rPr>
      </w:pPr>
      <w:r>
        <w:rPr>
          <w:rFonts w:hint="eastAsia"/>
          <w:b/>
          <w:bCs w:val="0"/>
          <w:lang w:val="en-US" w:eastAsia="zh-CN"/>
        </w:rPr>
        <w:t>科研项目申报阶段的伦理审查</w:t>
      </w:r>
    </w:p>
    <w:p w14:paraId="6BFCB513">
      <w:pPr>
        <w:pStyle w:val="17"/>
        <w:numPr>
          <w:ilvl w:val="-1"/>
          <w:numId w:val="0"/>
        </w:numPr>
        <w:ind w:left="0" w:leftChars="0" w:firstLine="480" w:firstLineChars="200"/>
        <w:outlineLvl w:val="9"/>
        <w:rPr>
          <w:rFonts w:hint="eastAsia"/>
          <w:b w:val="0"/>
          <w:bCs w:val="0"/>
          <w:lang w:val="en-US" w:eastAsia="zh-CN"/>
        </w:rPr>
      </w:pPr>
      <w:r>
        <w:rPr>
          <w:rFonts w:hint="eastAsia"/>
          <w:b w:val="0"/>
          <w:bCs w:val="0"/>
          <w:lang w:val="en-US" w:eastAsia="zh-CN"/>
        </w:rPr>
        <w:t>仅适用于</w:t>
      </w:r>
      <w:r>
        <w:rPr>
          <w:rFonts w:hint="eastAsia"/>
          <w:b/>
          <w:bCs/>
          <w:lang w:val="en-US" w:eastAsia="zh-CN"/>
        </w:rPr>
        <w:t>纵向课题</w:t>
      </w:r>
      <w:r>
        <w:rPr>
          <w:rFonts w:hint="eastAsia"/>
          <w:b w:val="0"/>
          <w:bCs w:val="0"/>
          <w:lang w:val="en-US" w:eastAsia="zh-CN"/>
        </w:rPr>
        <w:t>和</w:t>
      </w:r>
      <w:r>
        <w:rPr>
          <w:rFonts w:hint="eastAsia"/>
          <w:b/>
          <w:bCs/>
          <w:lang w:val="en-US" w:eastAsia="zh-CN"/>
        </w:rPr>
        <w:t>院内自主课题</w:t>
      </w:r>
      <w:r>
        <w:rPr>
          <w:rFonts w:hint="eastAsia"/>
          <w:b w:val="0"/>
          <w:bCs w:val="0"/>
          <w:lang w:val="en-US" w:eastAsia="zh-CN"/>
        </w:rPr>
        <w:t>的“申报”阶段，项目正式实施前，须再次经过正式阶段的伦理审查，获得“同意开展”的伦理批件后，方可启动项目。</w:t>
      </w:r>
    </w:p>
    <w:p w14:paraId="184E3D2F">
      <w:pPr>
        <w:pStyle w:val="16"/>
        <w:ind w:firstLine="482" w:firstLineChars="200"/>
        <w:outlineLvl w:val="9"/>
        <w:rPr>
          <w:b/>
          <w:bCs w:val="0"/>
        </w:rPr>
      </w:pPr>
      <w:r>
        <w:rPr>
          <w:rFonts w:hint="eastAsia"/>
          <w:b/>
          <w:bCs w:val="0"/>
          <w:lang w:val="en-US" w:eastAsia="zh-CN"/>
        </w:rPr>
        <w:t>四、</w:t>
      </w:r>
      <w:r>
        <w:rPr>
          <w:rFonts w:hint="eastAsia"/>
          <w:b/>
          <w:bCs w:val="0"/>
        </w:rPr>
        <w:t>伦理审查送审类别</w:t>
      </w:r>
    </w:p>
    <w:p w14:paraId="337817F8">
      <w:pPr>
        <w:ind w:firstLine="480"/>
        <w:outlineLvl w:val="9"/>
        <w:rPr>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初始审查</w:t>
      </w:r>
    </w:p>
    <w:p w14:paraId="1A8B156E">
      <w:pPr>
        <w:pStyle w:val="18"/>
        <w:numPr>
          <w:ilvl w:val="-1"/>
          <w:numId w:val="0"/>
        </w:numPr>
        <w:ind w:left="0" w:leftChars="0" w:firstLine="480" w:firstLineChars="200"/>
        <w:rPr>
          <w:rFonts w:hint="eastAsia"/>
        </w:rPr>
      </w:pPr>
      <w:r>
        <w:rPr>
          <w:rFonts w:hint="eastAsia"/>
        </w:rPr>
        <w:t>涉及人的生物医学研究项目，研究者应当在研究开始前提交伦理审查，经审查同意后方可实施。</w:t>
      </w:r>
    </w:p>
    <w:p w14:paraId="081432F5">
      <w:pPr>
        <w:ind w:firstLine="480"/>
        <w:outlineLvl w:val="9"/>
        <w:rPr>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跟踪审查</w:t>
      </w:r>
    </w:p>
    <w:p w14:paraId="14A79048">
      <w:pPr>
        <w:ind w:firstLine="480"/>
        <w:outlineLvl w:val="9"/>
      </w:pPr>
      <w:r>
        <w:rPr>
          <w:rFonts w:hint="eastAsia"/>
          <w:b/>
          <w:bCs/>
          <w:lang w:val="en-US" w:eastAsia="zh-CN"/>
        </w:rPr>
        <w:t>1.</w:t>
      </w:r>
      <w:r>
        <w:rPr>
          <w:rFonts w:hint="eastAsia"/>
          <w:b/>
          <w:bCs/>
        </w:rPr>
        <w:t>修正案</w:t>
      </w:r>
      <w:r>
        <w:rPr>
          <w:rFonts w:hint="eastAsia"/>
          <w:b/>
          <w:bCs/>
          <w:lang w:val="en-US" w:eastAsia="zh-CN"/>
        </w:rPr>
        <w:t>报告</w:t>
      </w:r>
    </w:p>
    <w:p w14:paraId="318527AA">
      <w:pPr>
        <w:pStyle w:val="18"/>
        <w:numPr>
          <w:ilvl w:val="-1"/>
          <w:numId w:val="0"/>
        </w:numPr>
        <w:ind w:left="0" w:leftChars="0" w:firstLine="480" w:firstLineChars="200"/>
      </w:pPr>
      <w:r>
        <w:rPr>
          <w:rFonts w:hint="eastAsia"/>
        </w:rPr>
        <w:t>为避免研究对</w:t>
      </w:r>
      <w:r>
        <w:rPr>
          <w:rFonts w:hint="eastAsia"/>
          <w:lang w:eastAsia="zh-CN"/>
        </w:rPr>
        <w:t>研究参与者</w:t>
      </w:r>
      <w:r>
        <w:rPr>
          <w:rFonts w:hint="eastAsia"/>
        </w:rPr>
        <w:t>的紧急危害，研究者可在伦理委员会同意前修改研究方案，事后应当及时将修改研究方案的情况及原因报告伦理委员会。</w:t>
      </w:r>
    </w:p>
    <w:p w14:paraId="6B39C749">
      <w:pPr>
        <w:pStyle w:val="18"/>
        <w:numPr>
          <w:ilvl w:val="-1"/>
          <w:numId w:val="0"/>
        </w:numPr>
        <w:ind w:left="0" w:leftChars="0" w:firstLine="480" w:firstLineChars="200"/>
      </w:pPr>
      <w:r>
        <w:rPr>
          <w:rFonts w:hint="eastAsia"/>
        </w:rPr>
        <w:t>研究过程中若变更研究者，或对研究方案、知情同意书、招募材料，以及提供给</w:t>
      </w:r>
      <w:r>
        <w:rPr>
          <w:rFonts w:hint="eastAsia"/>
          <w:lang w:eastAsia="zh-CN"/>
        </w:rPr>
        <w:t>研究参与者</w:t>
      </w:r>
      <w:r>
        <w:rPr>
          <w:rFonts w:hint="eastAsia"/>
        </w:rPr>
        <w:t>的其他书面资料的修改，研究者应当获得伦理委员会同意后执行，除非研究方案的修改仅涉及研究管理或后勤方面，例如更换监查员、变更电话号码、变更药品批号。</w:t>
      </w:r>
    </w:p>
    <w:p w14:paraId="1D96589E">
      <w:pPr>
        <w:ind w:firstLine="480"/>
        <w:outlineLvl w:val="9"/>
        <w:rPr>
          <w:rFonts w:hint="default" w:eastAsiaTheme="majorEastAsia"/>
          <w:b/>
          <w:bCs/>
          <w:lang w:val="en-US" w:eastAsia="zh-CN"/>
        </w:rPr>
      </w:pPr>
      <w:r>
        <w:rPr>
          <w:rFonts w:hint="eastAsia"/>
          <w:b/>
          <w:bCs/>
          <w:lang w:val="en-US" w:eastAsia="zh-CN"/>
        </w:rPr>
        <w:t>2.年度/定期跟踪报告</w:t>
      </w:r>
    </w:p>
    <w:p w14:paraId="261007FB">
      <w:pPr>
        <w:ind w:firstLine="480"/>
      </w:pPr>
      <w:r>
        <w:rPr>
          <w:rFonts w:hint="eastAsia"/>
        </w:rPr>
        <w:t>研究者应当向伦理委员会提交临床研究的年度报告，或者按照伦理审查意见所要求的年度／定期审查频率提交研究进展报告。如果伦理审查同意研究的有效期到期，可以通过年度报告或研究进展报告申请延长有效期。</w:t>
      </w:r>
    </w:p>
    <w:p w14:paraId="7E3175AC">
      <w:pPr>
        <w:ind w:firstLine="480"/>
        <w:outlineLvl w:val="9"/>
        <w:rPr>
          <w:rFonts w:hint="eastAsia" w:eastAsiaTheme="majorEastAsia"/>
          <w:lang w:eastAsia="zh-CN"/>
        </w:rPr>
      </w:pPr>
      <w:r>
        <w:rPr>
          <w:rFonts w:hint="eastAsia"/>
          <w:b/>
          <w:bCs/>
          <w:lang w:val="en-US" w:eastAsia="zh-CN"/>
        </w:rPr>
        <w:t>3.</w:t>
      </w:r>
      <w:r>
        <w:rPr>
          <w:rFonts w:hint="eastAsia"/>
          <w:b/>
          <w:bCs/>
        </w:rPr>
        <w:t>安全性</w:t>
      </w:r>
      <w:r>
        <w:rPr>
          <w:rFonts w:hint="eastAsia"/>
          <w:b/>
          <w:bCs/>
          <w:lang w:val="en-US" w:eastAsia="zh-CN"/>
        </w:rPr>
        <w:t>信息报告</w:t>
      </w:r>
    </w:p>
    <w:p w14:paraId="2011F805">
      <w:pPr>
        <w:pStyle w:val="18"/>
        <w:numPr>
          <w:ilvl w:val="0"/>
          <w:numId w:val="6"/>
        </w:numPr>
        <w:ind w:left="845" w:leftChars="0" w:hanging="425" w:firstLineChars="0"/>
      </w:pPr>
      <w:r>
        <w:rPr>
          <w:rFonts w:hint="eastAsia"/>
          <w:lang w:val="en-US" w:eastAsia="zh-CN"/>
        </w:rPr>
        <w:t>SAE报告：</w:t>
      </w:r>
      <w:r>
        <w:rPr>
          <w:rFonts w:hint="eastAsia"/>
        </w:rPr>
        <w:t>除研究方案或者其他文件（如研究者手册）规定的不需要立即报告的严重不良事件外，研究者应当立即（</w:t>
      </w:r>
      <w:r>
        <w:rPr>
          <w:rFonts w:hint="eastAsia"/>
          <w:lang w:val="en-US"/>
        </w:rPr>
        <w:t>一般为获知的24h内）</w:t>
      </w:r>
      <w:r>
        <w:rPr>
          <w:rFonts w:hint="eastAsia"/>
        </w:rPr>
        <w:t>向申办者报告所有的严重不良事件</w:t>
      </w:r>
      <w:r>
        <w:rPr>
          <w:rFonts w:hint="eastAsia"/>
          <w:lang w:val="en-US"/>
        </w:rPr>
        <w:t>SAE</w:t>
      </w:r>
      <w:r>
        <w:rPr>
          <w:rFonts w:hint="eastAsia"/>
        </w:rPr>
        <w:t>，随后应当及时提供详尽、书面的随访报告。研究者应当按研究方案的要求和时限向申办者报告方案中规定的、对安全性评价重要的不良事件和实验室异常值。</w:t>
      </w:r>
    </w:p>
    <w:p w14:paraId="2F77C93F">
      <w:pPr>
        <w:pStyle w:val="18"/>
        <w:numPr>
          <w:ilvl w:val="0"/>
          <w:numId w:val="6"/>
        </w:numPr>
        <w:ind w:left="845" w:leftChars="0" w:hanging="425" w:firstLineChars="0"/>
      </w:pPr>
      <w:r>
        <w:rPr>
          <w:rFonts w:hint="eastAsia"/>
        </w:rPr>
        <w:t>SUSAR报告：研究者应当向伦理委员会快速报告由</w:t>
      </w:r>
      <w:r>
        <w:rPr>
          <w:rFonts w:hint="eastAsia"/>
          <w:lang w:eastAsia="zh-CN"/>
        </w:rPr>
        <w:t>申办者</w:t>
      </w:r>
      <w:r>
        <w:rPr>
          <w:rFonts w:hint="eastAsia"/>
        </w:rPr>
        <w:t>提供的可疑且非预期严重不良反应。快速报告的时限要求：致死或危及生命的应在首次获知后7天内报告。非致死或危及生命的应在首次获知后15天内报告。随访报告应在获得新信息起15天内。</w:t>
      </w:r>
    </w:p>
    <w:p w14:paraId="77B636D2">
      <w:pPr>
        <w:pStyle w:val="18"/>
        <w:numPr>
          <w:ilvl w:val="0"/>
          <w:numId w:val="6"/>
        </w:numPr>
        <w:ind w:left="845" w:leftChars="0" w:hanging="425" w:firstLineChars="0"/>
        <w:outlineLvl w:val="9"/>
      </w:pPr>
      <w:r>
        <w:rPr>
          <w:rFonts w:hint="eastAsia"/>
        </w:rPr>
        <w:t>其他潜在的严重安全性风险信息的报告：申办者分析评估任何来源的安全性信息时发现：①明显影响药品风险获益评估的信息或可能考虑药品用法改变，或影响总体药品研发进程的信息，应当尽快报告。例如，预期的严重不良反应的发生率增加，判断具有临床重要性；对暴露人群有明显的危害，如在治疗危及生命疾病时药品无效；在新近完成的动物实验中的重大安全性发现（如致癌性）。②从其他来源获得的与试验药物相关的非预期严重不良反应及其他潜在严重安全性风险的信息，应当快速报告。</w:t>
      </w:r>
    </w:p>
    <w:p w14:paraId="4F209E7E">
      <w:pPr>
        <w:pStyle w:val="18"/>
        <w:numPr>
          <w:ilvl w:val="0"/>
          <w:numId w:val="6"/>
        </w:numPr>
        <w:ind w:left="845" w:leftChars="0" w:hanging="425" w:firstLineChars="0"/>
      </w:pPr>
      <w:r>
        <w:rPr>
          <w:rFonts w:hint="eastAsia"/>
        </w:rPr>
        <w:t>年度安全性报告：这是申办者的研发期间安全性更新报告中的执行概要，并附严重不良反应累计汇总表（</w:t>
      </w:r>
      <w:r>
        <w:rPr>
          <w:rFonts w:hint="eastAsia"/>
          <w:lang w:val="en-US"/>
        </w:rPr>
        <w:t>含整年SAE、SUSAR、</w:t>
      </w:r>
      <w:r>
        <w:rPr>
          <w:rFonts w:hint="eastAsia"/>
        </w:rPr>
        <w:t>严重安全性风险信息）</w:t>
      </w:r>
      <w:r>
        <w:rPr>
          <w:rFonts w:hint="eastAsia"/>
          <w:lang w:val="en-US"/>
        </w:rPr>
        <w:t>及其他</w:t>
      </w:r>
      <w:r>
        <w:rPr>
          <w:rFonts w:hint="eastAsia"/>
        </w:rPr>
        <w:t>最新修订版的研究者手册副本。</w:t>
      </w:r>
    </w:p>
    <w:p w14:paraId="5F8545B0">
      <w:pPr>
        <w:ind w:firstLine="480"/>
        <w:outlineLvl w:val="9"/>
        <w:rPr>
          <w:rFonts w:hint="eastAsia" w:eastAsiaTheme="majorEastAsia"/>
          <w:b/>
          <w:bCs/>
          <w:lang w:eastAsia="zh-CN"/>
        </w:rPr>
      </w:pPr>
      <w:r>
        <w:rPr>
          <w:rFonts w:hint="eastAsia"/>
          <w:b/>
          <w:bCs/>
          <w:lang w:val="en-US" w:eastAsia="zh-CN"/>
        </w:rPr>
        <w:t>4.</w:t>
      </w:r>
      <w:r>
        <w:rPr>
          <w:rFonts w:hint="eastAsia"/>
          <w:b/>
          <w:bCs/>
          <w:lang w:eastAsia="zh-CN"/>
        </w:rPr>
        <w:t>方案偏离报告</w:t>
      </w:r>
    </w:p>
    <w:p w14:paraId="506E226D">
      <w:pPr>
        <w:ind w:firstLine="480"/>
      </w:pPr>
      <w:r>
        <w:rPr>
          <w:rFonts w:hint="eastAsia"/>
        </w:rPr>
        <w:t>为避免研究对</w:t>
      </w:r>
      <w:r>
        <w:rPr>
          <w:rFonts w:hint="eastAsia"/>
          <w:lang w:eastAsia="zh-CN"/>
        </w:rPr>
        <w:t>研究参与者</w:t>
      </w:r>
      <w:r>
        <w:rPr>
          <w:rFonts w:hint="eastAsia"/>
        </w:rPr>
        <w:t>的紧急危害，研究者可在伦理委员会同意前偏离研究方案，事后应当及时向伦理委员会报告任何偏离已同意方案之处并作解释。</w:t>
      </w:r>
    </w:p>
    <w:p w14:paraId="556FE9DA">
      <w:pPr>
        <w:ind w:firstLine="480"/>
      </w:pPr>
      <w:r>
        <w:rPr>
          <w:rFonts w:hint="eastAsia"/>
        </w:rPr>
        <w:t>增加</w:t>
      </w:r>
      <w:r>
        <w:rPr>
          <w:rFonts w:hint="eastAsia"/>
          <w:lang w:eastAsia="zh-CN"/>
        </w:rPr>
        <w:t>研究参与者</w:t>
      </w:r>
      <w:r>
        <w:rPr>
          <w:rFonts w:hint="eastAsia"/>
        </w:rPr>
        <w:t>风险或者显著影响临床研究实施的偏离方案，研究者／申办者应当及时向伦理委员会报告，包括：①严重偏离方案：研究纳入了不符合纳入标准或符合排除标准的</w:t>
      </w:r>
      <w:r>
        <w:rPr>
          <w:rFonts w:hint="eastAsia"/>
          <w:lang w:eastAsia="zh-CN"/>
        </w:rPr>
        <w:t>研究参与者</w:t>
      </w:r>
      <w:r>
        <w:rPr>
          <w:rFonts w:hint="eastAsia"/>
        </w:rPr>
        <w:t>，符合终止试验规定而未让</w:t>
      </w:r>
      <w:r>
        <w:rPr>
          <w:rFonts w:hint="eastAsia"/>
          <w:lang w:eastAsia="zh-CN"/>
        </w:rPr>
        <w:t>研究参与者</w:t>
      </w:r>
      <w:r>
        <w:rPr>
          <w:rFonts w:hint="eastAsia"/>
        </w:rPr>
        <w:t>退出研究，给予错误的治疗或剂量，给予方案禁止的合并用药等情况；或者可能对</w:t>
      </w:r>
      <w:r>
        <w:rPr>
          <w:rFonts w:hint="eastAsia"/>
          <w:lang w:eastAsia="zh-CN"/>
        </w:rPr>
        <w:t>研究参与者</w:t>
      </w:r>
      <w:r>
        <w:rPr>
          <w:rFonts w:hint="eastAsia"/>
        </w:rPr>
        <w:t>的权益和安全，以及研究的科学性造成显著影响的情况。②持续偏离方案（指同一研究人员的同一违规行为在被要求纠正后，再次发生），或者研究者不配合监查／稽查，或者对违规事件不予以纠正。</w:t>
      </w:r>
    </w:p>
    <w:p w14:paraId="7694ABDB">
      <w:pPr>
        <w:ind w:firstLine="480"/>
      </w:pPr>
      <w:r>
        <w:rPr>
          <w:rFonts w:hint="eastAsia"/>
        </w:rPr>
        <w:t>其他的偏离方案，可以定期汇总向伦理委员会报告。</w:t>
      </w:r>
    </w:p>
    <w:p w14:paraId="0F1C600D">
      <w:pPr>
        <w:ind w:firstLine="480"/>
        <w:outlineLvl w:val="9"/>
      </w:pPr>
      <w:r>
        <w:rPr>
          <w:rFonts w:hint="eastAsia"/>
          <w:b/>
          <w:bCs/>
          <w:lang w:val="en-US" w:eastAsia="zh-CN"/>
        </w:rPr>
        <w:t>5.</w:t>
      </w:r>
      <w:r>
        <w:rPr>
          <w:rFonts w:hint="eastAsia" w:cs="仿宋"/>
          <w:b/>
          <w:bCs/>
          <w:snapToGrid w:val="0"/>
          <w:color w:val="000000"/>
          <w:sz w:val="24"/>
          <w:szCs w:val="24"/>
          <w:highlight w:val="none"/>
          <w:lang w:val="en-US" w:eastAsia="zh-CN"/>
        </w:rPr>
        <w:t>暂停/终止</w:t>
      </w:r>
      <w:r>
        <w:rPr>
          <w:rFonts w:hint="eastAsia" w:cs="仿宋"/>
          <w:b/>
          <w:bCs/>
          <w:snapToGrid w:val="0"/>
          <w:color w:val="000000"/>
          <w:sz w:val="24"/>
          <w:szCs w:val="24"/>
          <w:highlight w:val="none"/>
          <w:lang w:val="en-US"/>
        </w:rPr>
        <w:t>研究</w:t>
      </w:r>
      <w:r>
        <w:rPr>
          <w:rFonts w:hint="eastAsia"/>
          <w:b/>
          <w:bCs/>
          <w:lang w:val="en-US" w:eastAsia="zh-CN"/>
        </w:rPr>
        <w:t>报告</w:t>
      </w:r>
    </w:p>
    <w:p w14:paraId="3F4437D7">
      <w:pPr>
        <w:pStyle w:val="18"/>
        <w:numPr>
          <w:ilvl w:val="-1"/>
          <w:numId w:val="0"/>
        </w:numPr>
        <w:ind w:left="350" w:leftChars="146" w:firstLine="0" w:firstLineChars="0"/>
      </w:pPr>
      <w:r>
        <w:rPr>
          <w:rFonts w:hint="eastAsia"/>
        </w:rPr>
        <w:t>研究者／申办者提前终止或者暂停临床试验，应当及时向伦理委员会报告。</w:t>
      </w:r>
    </w:p>
    <w:p w14:paraId="2AE3A336">
      <w:pPr>
        <w:pStyle w:val="18"/>
        <w:numPr>
          <w:ilvl w:val="-1"/>
          <w:numId w:val="0"/>
        </w:numPr>
        <w:ind w:left="0" w:leftChars="0" w:firstLine="482" w:firstLineChars="200"/>
        <w:outlineLvl w:val="9"/>
        <w:rPr>
          <w:rFonts w:hint="eastAsia" w:eastAsiaTheme="majorEastAsia"/>
          <w:b/>
          <w:bCs/>
          <w:lang w:val="en-US" w:eastAsia="zh-CN"/>
        </w:rPr>
      </w:pPr>
      <w:r>
        <w:rPr>
          <w:rFonts w:hint="eastAsia"/>
          <w:b/>
          <w:bCs/>
          <w:lang w:val="en-US" w:eastAsia="zh-CN"/>
        </w:rPr>
        <w:t>6.</w:t>
      </w:r>
      <w:r>
        <w:rPr>
          <w:rFonts w:hint="eastAsia"/>
          <w:b/>
          <w:bCs/>
        </w:rPr>
        <w:t>研究完成</w:t>
      </w:r>
      <w:r>
        <w:rPr>
          <w:rFonts w:hint="eastAsia"/>
          <w:b/>
          <w:bCs/>
          <w:lang w:val="en-US" w:eastAsia="zh-CN"/>
        </w:rPr>
        <w:t>报告</w:t>
      </w:r>
    </w:p>
    <w:p w14:paraId="7EFFFED4">
      <w:pPr>
        <w:pStyle w:val="18"/>
        <w:numPr>
          <w:ilvl w:val="-1"/>
          <w:numId w:val="0"/>
        </w:numPr>
        <w:ind w:left="0" w:leftChars="0" w:firstLine="480" w:firstLineChars="200"/>
      </w:pPr>
      <w:r>
        <w:rPr>
          <w:rFonts w:hint="eastAsia"/>
        </w:rPr>
        <w:t>（本中心）研究完成后，研究者应当向研究机构报告；向伦理委员会提交研究完成报告。</w:t>
      </w:r>
    </w:p>
    <w:p w14:paraId="74DCFBD3">
      <w:pPr>
        <w:ind w:firstLine="480"/>
        <w:outlineLvl w:val="9"/>
        <w:rPr>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复审</w:t>
      </w:r>
    </w:p>
    <w:p w14:paraId="4B4B7912">
      <w:pPr>
        <w:ind w:firstLine="480"/>
      </w:pPr>
      <w:r>
        <w:rPr>
          <w:rFonts w:hint="eastAsia"/>
        </w:rPr>
        <w:t>按伦理审查意见“</w:t>
      </w:r>
      <w:r>
        <w:rPr>
          <w:rFonts w:hint="eastAsia"/>
          <w:lang w:eastAsia="zh-CN"/>
        </w:rPr>
        <w:t>修改后批准</w:t>
      </w:r>
      <w:r>
        <w:rPr>
          <w:rFonts w:hint="eastAsia"/>
        </w:rPr>
        <w:t>”，对方案进行修改后，应当提交复审，经伦理委员会审查同意后方可实施。</w:t>
      </w:r>
    </w:p>
    <w:p w14:paraId="0F56E1BB">
      <w:pPr>
        <w:pStyle w:val="18"/>
        <w:numPr>
          <w:ilvl w:val="-1"/>
          <w:numId w:val="0"/>
        </w:numPr>
        <w:ind w:left="0" w:leftChars="0" w:firstLine="480" w:firstLineChars="200"/>
      </w:pPr>
      <w:r>
        <w:rPr>
          <w:rFonts w:hint="eastAsia"/>
        </w:rPr>
        <w:t>如果对伦理审查意见有不同的看法，可以通过复审申请的方式提出不同意见，请伦理委员会重新考虑决定。</w:t>
      </w:r>
    </w:p>
    <w:p w14:paraId="0B4F6EF0">
      <w:pPr>
        <w:pStyle w:val="16"/>
        <w:ind w:firstLine="480"/>
        <w:outlineLvl w:val="9"/>
        <w:rPr>
          <w:b/>
          <w:bCs w:val="0"/>
        </w:rPr>
      </w:pPr>
      <w:r>
        <w:rPr>
          <w:rFonts w:hint="eastAsia"/>
          <w:b/>
          <w:bCs w:val="0"/>
          <w:lang w:eastAsia="zh-CN"/>
        </w:rPr>
        <w:t>五</w:t>
      </w:r>
      <w:r>
        <w:rPr>
          <w:rFonts w:hint="eastAsia"/>
          <w:b/>
          <w:bCs w:val="0"/>
        </w:rPr>
        <w:t>、豁免知情同意</w:t>
      </w:r>
    </w:p>
    <w:p w14:paraId="7DBCE8F9">
      <w:pPr>
        <w:ind w:firstLine="480"/>
      </w:pPr>
      <w:r>
        <w:t>根据原国家卫计委2016年发布的《涉及人的生物医学研究伦理审查办法》，以下情形经伦理审查委员会审查批准后，可以豁免知情同意：</w:t>
      </w:r>
    </w:p>
    <w:p w14:paraId="1F0438F4">
      <w:pPr>
        <w:ind w:firstLine="480"/>
      </w:pPr>
      <w:r>
        <w:t>（一）利用可识别身份信息的人体材料或者数据进行研究，已无法找到该研究参与者，且研究项目不涉及个人隐私和商业利益的；</w:t>
      </w:r>
    </w:p>
    <w:p w14:paraId="166FC650">
      <w:pPr>
        <w:ind w:firstLine="480"/>
      </w:pPr>
      <w:r>
        <w:t>（二）生物样本捐献者已经签署了知情同意书，同意所捐献样本及相关信息可用于所有医学研究的。</w:t>
      </w:r>
    </w:p>
    <w:p w14:paraId="366719DC">
      <w:pPr>
        <w:pStyle w:val="16"/>
        <w:ind w:firstLine="480"/>
        <w:outlineLvl w:val="9"/>
        <w:rPr>
          <w:rFonts w:hint="eastAsia"/>
          <w:b/>
          <w:bCs w:val="0"/>
          <w:lang w:val="en-US" w:eastAsia="zh-CN"/>
        </w:rPr>
      </w:pPr>
      <w:r>
        <w:rPr>
          <w:rFonts w:hint="eastAsia"/>
          <w:b/>
          <w:bCs w:val="0"/>
          <w:lang w:val="en-US" w:eastAsia="zh-CN"/>
        </w:rPr>
        <w:t>六、免知情同意签字</w:t>
      </w:r>
    </w:p>
    <w:p w14:paraId="247B2A1D">
      <w:pPr>
        <w:ind w:firstLine="480"/>
        <w:rPr>
          <w:rFonts w:hint="eastAsia"/>
          <w:b/>
          <w:bCs/>
          <w:lang w:val="en-US" w:eastAsia="zh-CN"/>
        </w:rPr>
      </w:pPr>
      <w:r>
        <w:rPr>
          <w:b/>
          <w:bCs/>
          <w:spacing w:val="-1"/>
        </w:rPr>
        <w:t>研究属于以下类别之一</w:t>
      </w:r>
      <w:r>
        <w:rPr>
          <w:rFonts w:hint="eastAsia"/>
          <w:b/>
          <w:bCs/>
          <w:spacing w:val="-1"/>
          <w:lang w:val="en-US" w:eastAsia="zh-CN"/>
        </w:rPr>
        <w:t>可申请免知情同意签字</w:t>
      </w:r>
      <w:r>
        <w:rPr>
          <w:spacing w:val="-1"/>
        </w:rPr>
        <w:t>：</w:t>
      </w:r>
    </w:p>
    <w:p w14:paraId="270CB017">
      <w:pPr>
        <w:ind w:firstLine="480"/>
        <w:rPr>
          <w:spacing w:val="-1"/>
        </w:rPr>
      </w:pPr>
      <w:r>
        <w:rPr>
          <w:rFonts w:hint="eastAsia"/>
          <w:b/>
          <w:bCs/>
          <w:lang w:val="en-US" w:eastAsia="zh-CN"/>
        </w:rPr>
        <w:t>（一）</w:t>
      </w:r>
      <w:r>
        <w:t>签署的知情同意书会对研究参与者的隐私构成不正当的威胁；联系研究参与者真实身份和研究的</w:t>
      </w:r>
      <w:r>
        <w:rPr>
          <w:spacing w:val="-1"/>
        </w:rPr>
        <w:t>唯一记</w:t>
      </w:r>
      <w:r>
        <w:t>录是知情同意文件，并且主要风险就来自研究参与者身份</w:t>
      </w:r>
      <w:r>
        <w:rPr>
          <w:spacing w:val="-1"/>
        </w:rPr>
        <w:t>或个人隐私的泄露。</w:t>
      </w:r>
    </w:p>
    <w:p w14:paraId="647D5331">
      <w:pPr>
        <w:ind w:firstLine="480"/>
        <w:rPr>
          <w:rFonts w:hint="eastAsia"/>
          <w:spacing w:val="-1"/>
          <w:lang w:eastAsia="zh-CN"/>
        </w:rPr>
      </w:pPr>
      <w:r>
        <w:rPr>
          <w:rFonts w:hint="eastAsia"/>
          <w:spacing w:val="-1"/>
          <w:lang w:eastAsia="zh-CN"/>
        </w:rPr>
        <w:t>（</w:t>
      </w:r>
      <w:r>
        <w:rPr>
          <w:rFonts w:hint="eastAsia"/>
          <w:spacing w:val="-1"/>
          <w:lang w:val="en-US" w:eastAsia="zh-CN"/>
        </w:rPr>
        <w:t>二</w:t>
      </w:r>
      <w:r>
        <w:rPr>
          <w:rFonts w:hint="eastAsia"/>
          <w:spacing w:val="-1"/>
          <w:lang w:eastAsia="zh-CN"/>
        </w:rPr>
        <w:t>）研究对研究参与者造成的风险不大于最小风险（ “最小风险 ”指试验中预期风险的可能性和程度不大于日常生活，或不大于在身体、心理的常规检查/检测中的风险。），如果脱离“研究 ”背景，相同情况下的行为或程序不要求签署书面知情同意（如访谈研究，邮件/电话调查）。</w:t>
      </w:r>
    </w:p>
    <w:p w14:paraId="26AB5047">
      <w:pPr>
        <w:ind w:firstLine="480"/>
        <w:rPr>
          <w:rFonts w:hint="eastAsia" w:eastAsiaTheme="majorEastAsia"/>
          <w:spacing w:val="-1"/>
          <w:lang w:val="en-US" w:eastAsia="zh-CN"/>
        </w:rPr>
      </w:pPr>
      <w:r>
        <w:t>对于批准的免除知情同意书面签字，伦理审查委员会一般要求研究者向</w:t>
      </w:r>
      <w:r>
        <w:rPr>
          <w:b/>
          <w:bCs/>
        </w:rPr>
        <w:t>研究参与者提供书面的研究</w:t>
      </w:r>
      <w:r>
        <w:rPr>
          <w:b/>
          <w:bCs/>
          <w:spacing w:val="-1"/>
        </w:rPr>
        <w:t>告知信息并获得口头知情同意</w:t>
      </w:r>
      <w:r>
        <w:rPr>
          <w:spacing w:val="-1"/>
        </w:rPr>
        <w:t>。</w:t>
      </w:r>
    </w:p>
    <w:p w14:paraId="69CBD1AC">
      <w:pPr>
        <w:pStyle w:val="16"/>
        <w:ind w:firstLine="480"/>
        <w:outlineLvl w:val="9"/>
        <w:rPr>
          <w:rFonts w:hint="default"/>
          <w:b/>
          <w:bCs w:val="0"/>
        </w:rPr>
      </w:pPr>
      <w:r>
        <w:rPr>
          <w:rFonts w:hint="eastAsia"/>
          <w:b/>
          <w:bCs w:val="0"/>
          <w:lang w:eastAsia="zh-CN"/>
        </w:rPr>
        <w:t>七</w:t>
      </w:r>
      <w:r>
        <w:rPr>
          <w:rFonts w:hint="eastAsia"/>
          <w:b/>
          <w:bCs w:val="0"/>
        </w:rPr>
        <w:t>、</w:t>
      </w:r>
      <w:r>
        <w:rPr>
          <w:rFonts w:hint="eastAsia"/>
          <w:b/>
          <w:bCs w:val="0"/>
          <w:lang w:val="en-US" w:eastAsia="zh-CN"/>
        </w:rPr>
        <w:t>伦理审查方式</w:t>
      </w:r>
    </w:p>
    <w:p w14:paraId="73F21C81">
      <w:pPr>
        <w:ind w:firstLine="480"/>
        <w:outlineLvl w:val="9"/>
        <w:rPr>
          <w:rFonts w:hint="eastAsia"/>
          <w:b/>
          <w:bCs/>
          <w:lang w:val="en-US" w:eastAsia="zh-CN"/>
        </w:rPr>
      </w:pPr>
      <w:r>
        <w:rPr>
          <w:rFonts w:hint="eastAsia"/>
          <w:b/>
          <w:bCs/>
          <w:lang w:eastAsia="zh-CN"/>
        </w:rPr>
        <w:t>（</w:t>
      </w:r>
      <w:r>
        <w:rPr>
          <w:rFonts w:hint="eastAsia"/>
          <w:b/>
          <w:bCs/>
          <w:lang w:val="en-US" w:eastAsia="zh-CN"/>
        </w:rPr>
        <w:t>一</w:t>
      </w:r>
      <w:r>
        <w:rPr>
          <w:rFonts w:hint="eastAsia"/>
          <w:b/>
          <w:bCs/>
          <w:lang w:eastAsia="zh-CN"/>
        </w:rPr>
        <w:t>）</w:t>
      </w:r>
      <w:r>
        <w:rPr>
          <w:rFonts w:hint="eastAsia"/>
          <w:b/>
          <w:bCs/>
          <w:lang w:val="en-US" w:eastAsia="zh-CN"/>
        </w:rPr>
        <w:t>会议审查</w:t>
      </w:r>
    </w:p>
    <w:p w14:paraId="3D401C50">
      <w:pPr>
        <w:pStyle w:val="18"/>
        <w:numPr>
          <w:ilvl w:val="0"/>
          <w:numId w:val="7"/>
        </w:numPr>
        <w:ind w:left="845" w:leftChars="0" w:hanging="425" w:firstLineChars="0"/>
        <w:outlineLvl w:val="9"/>
        <w:rPr>
          <w:b/>
          <w:bCs/>
        </w:rPr>
      </w:pPr>
      <w:r>
        <w:rPr>
          <w:rFonts w:hint="eastAsia"/>
          <w:b/>
          <w:bCs/>
        </w:rPr>
        <w:t>会议审查的适用范围</w:t>
      </w:r>
    </w:p>
    <w:p w14:paraId="4D818733">
      <w:pPr>
        <w:pStyle w:val="17"/>
        <w:numPr>
          <w:ilvl w:val="0"/>
          <w:numId w:val="8"/>
        </w:numPr>
        <w:ind w:left="845" w:leftChars="0" w:hanging="425" w:firstLineChars="0"/>
      </w:pPr>
      <w:r>
        <w:rPr>
          <w:rFonts w:hint="eastAsia"/>
          <w:lang w:eastAsia="zh-CN"/>
        </w:rPr>
        <w:t>研究参与者</w:t>
      </w:r>
      <w:r>
        <w:rPr>
          <w:rFonts w:hint="eastAsia"/>
        </w:rPr>
        <w:t>风险大于最低风险，或者涉及弱势人群和个人隐私及敏感性问题的研究。</w:t>
      </w:r>
    </w:p>
    <w:p w14:paraId="309B6AEF">
      <w:pPr>
        <w:pStyle w:val="17"/>
        <w:numPr>
          <w:ilvl w:val="0"/>
          <w:numId w:val="8"/>
        </w:numPr>
        <w:ind w:left="845" w:leftChars="0" w:hanging="425" w:firstLineChars="0"/>
        <w:outlineLvl w:val="9"/>
      </w:pPr>
      <w:r>
        <w:rPr>
          <w:rFonts w:hint="eastAsia"/>
        </w:rPr>
        <w:t>增加</w:t>
      </w:r>
      <w:r>
        <w:rPr>
          <w:rFonts w:hint="eastAsia"/>
          <w:lang w:eastAsia="zh-CN"/>
        </w:rPr>
        <w:t>研究参与者</w:t>
      </w:r>
      <w:r>
        <w:rPr>
          <w:rFonts w:hint="eastAsia"/>
        </w:rPr>
        <w:t>风险或者显著影响研究实施的非预期问题。</w:t>
      </w:r>
    </w:p>
    <w:p w14:paraId="5769AC0B">
      <w:pPr>
        <w:pStyle w:val="17"/>
        <w:numPr>
          <w:ilvl w:val="0"/>
          <w:numId w:val="8"/>
        </w:numPr>
        <w:ind w:left="845" w:leftChars="0" w:hanging="425" w:firstLineChars="0"/>
      </w:pPr>
      <w:r>
        <w:rPr>
          <w:rFonts w:hint="eastAsia"/>
        </w:rPr>
        <w:t>伦理审查提出与同意研究标准相关的实质性修改意见，或者要求进一步澄清、解释，或者要求提供更多的补充信息。</w:t>
      </w:r>
    </w:p>
    <w:p w14:paraId="495CFF91">
      <w:pPr>
        <w:pStyle w:val="17"/>
        <w:numPr>
          <w:ilvl w:val="0"/>
          <w:numId w:val="8"/>
        </w:numPr>
        <w:ind w:left="845" w:leftChars="0" w:hanging="425" w:firstLineChars="0"/>
        <w:outlineLvl w:val="9"/>
      </w:pPr>
      <w:r>
        <w:rPr>
          <w:rFonts w:hint="eastAsia"/>
        </w:rPr>
        <w:t>不符合已加入的区域伦理审查互认联盟的</w:t>
      </w:r>
      <w:r>
        <w:rPr>
          <w:rFonts w:hint="eastAsia"/>
          <w:lang w:eastAsia="zh-CN"/>
        </w:rPr>
        <w:t>简易审查</w:t>
      </w:r>
      <w:r>
        <w:rPr>
          <w:rFonts w:hint="eastAsia"/>
        </w:rPr>
        <w:t>规则。</w:t>
      </w:r>
    </w:p>
    <w:p w14:paraId="0E88902C">
      <w:pPr>
        <w:ind w:firstLine="482" w:firstLineChars="200"/>
        <w:outlineLvl w:val="9"/>
        <w:rPr>
          <w:rFonts w:hint="default"/>
          <w:b/>
          <w:bCs/>
          <w:lang w:val="en-US" w:eastAsia="zh-CN"/>
        </w:rPr>
      </w:pPr>
      <w:r>
        <w:rPr>
          <w:rFonts w:hint="eastAsia"/>
          <w:b/>
          <w:bCs/>
          <w:lang w:val="en-US" w:eastAsia="zh-CN"/>
        </w:rPr>
        <w:t>2.会议审查的流程</w:t>
      </w:r>
    </w:p>
    <w:p w14:paraId="0A20F100">
      <w:pPr>
        <w:ind w:firstLine="480"/>
        <w:outlineLvl w:val="9"/>
        <w:rPr>
          <w:rFonts w:hint="eastAsia"/>
          <w:b w:val="0"/>
          <w:bCs w:val="0"/>
          <w:lang w:val="en-US" w:eastAsia="zh-CN"/>
        </w:rPr>
      </w:pPr>
      <w:r>
        <w:rPr>
          <w:rFonts w:hint="eastAsia"/>
          <w:b w:val="0"/>
          <w:bCs w:val="0"/>
          <w:lang w:val="en-US" w:eastAsia="zh-CN"/>
        </w:rPr>
        <w:t>送审要求：伦理委员会办公室在第一次收到材料时，需要进行形式审查，即查缺补漏（需要至少1周时间的交流及修改）。材料齐全后进入正式受理阶段。一般需要1周的时间进行处理材料，包括材料分发至委员，安排会议事项等。综上所述，材料需要形式审查+正式受理两个步骤，故</w:t>
      </w:r>
      <w:r>
        <w:rPr>
          <w:rFonts w:hint="eastAsia"/>
          <w:b/>
          <w:bCs/>
          <w:lang w:val="en-US" w:eastAsia="zh-CN"/>
        </w:rPr>
        <w:t>请在例行审查会议前2周提交送审材料</w:t>
      </w:r>
      <w:r>
        <w:rPr>
          <w:rFonts w:hint="eastAsia"/>
          <w:b w:val="0"/>
          <w:bCs w:val="0"/>
          <w:lang w:val="en-US" w:eastAsia="zh-CN"/>
        </w:rPr>
        <w:t>。</w:t>
      </w:r>
    </w:p>
    <w:p w14:paraId="1F2F87BF">
      <w:pPr>
        <w:ind w:firstLine="480" w:firstLineChars="200"/>
      </w:pPr>
      <w:r>
        <w:rPr>
          <w:rFonts w:hint="eastAsia"/>
        </w:rPr>
        <w:t>会议时间/地点：</w:t>
      </w:r>
      <w:r>
        <w:rPr>
          <w:rFonts w:hint="eastAsia"/>
          <w:b w:val="0"/>
          <w:bCs w:val="0"/>
          <w:lang w:val="en-US" w:eastAsia="zh-CN"/>
        </w:rPr>
        <w:t>生物医学研究及临床试验分委会每月召开1次例行审查会议，安排在每月第一周的周四下午。需要时可以增加临时的审查会议。</w:t>
      </w:r>
      <w:r>
        <w:rPr>
          <w:rFonts w:hint="eastAsia"/>
        </w:rPr>
        <w:t>伦理委员会秘书会以电话、短信、微信或e-mail的形式通知。</w:t>
      </w:r>
    </w:p>
    <w:p w14:paraId="5F2313A4">
      <w:pPr>
        <w:ind w:firstLine="480"/>
        <w:outlineLvl w:val="9"/>
        <w:rPr>
          <w:rFonts w:hint="default"/>
          <w:b w:val="0"/>
          <w:bCs w:val="0"/>
          <w:lang w:val="en-US" w:eastAsia="zh-CN"/>
        </w:rPr>
      </w:pPr>
      <w:r>
        <w:rPr>
          <w:rFonts w:hint="eastAsia"/>
        </w:rPr>
        <w:t>准备会议的报告和答疑：研究者准备报告的PPT，应要求到会报告和答疑。研究者因故不能到会，应当事先向伦理委员会办公室请假，并授权研究人员到会报告和答疑。</w:t>
      </w:r>
    </w:p>
    <w:p w14:paraId="28AD7AFA">
      <w:pPr>
        <w:numPr>
          <w:ilvl w:val="0"/>
          <w:numId w:val="9"/>
        </w:numPr>
        <w:ind w:firstLine="480"/>
        <w:outlineLvl w:val="9"/>
        <w:rPr>
          <w:rFonts w:hint="eastAsia"/>
          <w:b/>
          <w:bCs/>
          <w:lang w:val="en-US" w:eastAsia="zh-CN"/>
        </w:rPr>
      </w:pPr>
      <w:r>
        <w:rPr>
          <w:rFonts w:hint="eastAsia"/>
          <w:b/>
          <w:bCs/>
          <w:lang w:val="en-US" w:eastAsia="zh-CN"/>
        </w:rPr>
        <w:t>简易程序审查</w:t>
      </w:r>
    </w:p>
    <w:p w14:paraId="02123877">
      <w:pPr>
        <w:pStyle w:val="17"/>
        <w:numPr>
          <w:ilvl w:val="0"/>
          <w:numId w:val="10"/>
        </w:numPr>
        <w:ind w:left="0" w:leftChars="0" w:firstLine="480" w:firstLineChars="200"/>
      </w:pPr>
      <w:r>
        <w:rPr>
          <w:rFonts w:hint="eastAsia"/>
          <w:lang w:eastAsia="zh-CN"/>
        </w:rPr>
        <w:t>研究参与者</w:t>
      </w:r>
      <w:r>
        <w:rPr>
          <w:rFonts w:hint="eastAsia"/>
        </w:rPr>
        <w:t>风险不大于最低风险，且不涉及弱势人群和个人隐私及敏感性问题。</w:t>
      </w:r>
    </w:p>
    <w:p w14:paraId="012D4947">
      <w:pPr>
        <w:pStyle w:val="17"/>
        <w:numPr>
          <w:ilvl w:val="0"/>
          <w:numId w:val="10"/>
        </w:numPr>
        <w:ind w:left="0" w:leftChars="0" w:firstLine="480" w:firstLineChars="200"/>
      </w:pPr>
      <w:r>
        <w:rPr>
          <w:rFonts w:hint="eastAsia"/>
        </w:rPr>
        <w:t>已</w:t>
      </w:r>
      <w:r>
        <w:rPr>
          <w:rFonts w:hint="eastAsia"/>
          <w:lang w:val="en-US" w:eastAsia="zh-CN"/>
        </w:rPr>
        <w:t>批准</w:t>
      </w:r>
      <w:r>
        <w:rPr>
          <w:rFonts w:hint="eastAsia"/>
        </w:rPr>
        <w:t>的方案的较小修改。所谓较小修改是指该修改不影响</w:t>
      </w:r>
      <w:r>
        <w:rPr>
          <w:rFonts w:hint="eastAsia"/>
          <w:lang w:val="en-US" w:eastAsia="zh-CN"/>
        </w:rPr>
        <w:t>批准</w:t>
      </w:r>
      <w:r>
        <w:rPr>
          <w:rFonts w:hint="eastAsia"/>
        </w:rPr>
        <w:t>研究的标准中的任</w:t>
      </w:r>
    </w:p>
    <w:p w14:paraId="472832DD">
      <w:pPr>
        <w:pStyle w:val="17"/>
        <w:numPr>
          <w:ilvl w:val="-1"/>
          <w:numId w:val="0"/>
        </w:numPr>
        <w:ind w:left="0" w:leftChars="0" w:firstLine="0" w:firstLineChars="0"/>
      </w:pPr>
      <w:r>
        <w:rPr>
          <w:rFonts w:hint="eastAsia"/>
        </w:rPr>
        <w:t>一条款。</w:t>
      </w:r>
    </w:p>
    <w:p w14:paraId="05365CB7">
      <w:pPr>
        <w:pStyle w:val="17"/>
        <w:numPr>
          <w:ilvl w:val="0"/>
          <w:numId w:val="10"/>
        </w:numPr>
        <w:ind w:left="0" w:leftChars="0" w:firstLine="480" w:firstLineChars="200"/>
        <w:outlineLvl w:val="9"/>
      </w:pPr>
      <w:r>
        <w:rPr>
          <w:rFonts w:hint="eastAsia"/>
        </w:rPr>
        <w:t>没有</w:t>
      </w:r>
      <w:r>
        <w:rPr>
          <w:rFonts w:hint="eastAsia"/>
          <w:lang w:eastAsia="zh-CN"/>
        </w:rPr>
        <w:t>研究参与者</w:t>
      </w:r>
      <w:r>
        <w:rPr>
          <w:rFonts w:hint="eastAsia"/>
        </w:rPr>
        <w:t>入组且未发现额外风险。</w:t>
      </w:r>
    </w:p>
    <w:p w14:paraId="5C39F1A1">
      <w:pPr>
        <w:pStyle w:val="17"/>
        <w:numPr>
          <w:ilvl w:val="0"/>
          <w:numId w:val="10"/>
        </w:numPr>
        <w:ind w:left="0" w:leftChars="0" w:firstLine="480" w:firstLineChars="200"/>
      </w:pPr>
      <w:r>
        <w:rPr>
          <w:rFonts w:hint="eastAsia"/>
        </w:rPr>
        <w:t>已完成或停止研究相关的干预，研究仅是对</w:t>
      </w:r>
      <w:r>
        <w:rPr>
          <w:rFonts w:hint="eastAsia"/>
          <w:lang w:eastAsia="zh-CN"/>
        </w:rPr>
        <w:t>研究参与者</w:t>
      </w:r>
      <w:r>
        <w:rPr>
          <w:rFonts w:hint="eastAsia"/>
        </w:rPr>
        <w:t>的跟踪随访。</w:t>
      </w:r>
    </w:p>
    <w:p w14:paraId="2C181A0C">
      <w:pPr>
        <w:pStyle w:val="17"/>
        <w:numPr>
          <w:ilvl w:val="0"/>
          <w:numId w:val="10"/>
        </w:numPr>
        <w:ind w:left="0" w:leftChars="0" w:firstLine="480" w:firstLineChars="200"/>
      </w:pPr>
      <w:r>
        <w:rPr>
          <w:rFonts w:hint="eastAsia"/>
        </w:rPr>
        <w:t>不属于增加</w:t>
      </w:r>
      <w:r>
        <w:rPr>
          <w:rFonts w:hint="eastAsia"/>
          <w:lang w:eastAsia="zh-CN"/>
        </w:rPr>
        <w:t>研究参与者</w:t>
      </w:r>
      <w:r>
        <w:rPr>
          <w:rFonts w:hint="eastAsia"/>
        </w:rPr>
        <w:t>风险或显著影响研究实施的非预期问题。</w:t>
      </w:r>
    </w:p>
    <w:p w14:paraId="16294C44">
      <w:pPr>
        <w:pStyle w:val="17"/>
        <w:numPr>
          <w:ilvl w:val="0"/>
          <w:numId w:val="10"/>
        </w:numPr>
        <w:ind w:left="0" w:leftChars="0" w:firstLine="480" w:firstLineChars="200"/>
      </w:pPr>
      <w:r>
        <w:rPr>
          <w:rFonts w:hint="eastAsia"/>
        </w:rPr>
        <w:t>伦理审查提出明确的或较小的修改意见，伦理委员会为了验证这些修改。</w:t>
      </w:r>
    </w:p>
    <w:p w14:paraId="0A0C2600">
      <w:pPr>
        <w:pStyle w:val="17"/>
        <w:numPr>
          <w:ilvl w:val="0"/>
          <w:numId w:val="10"/>
        </w:numPr>
        <w:ind w:left="0" w:leftChars="0" w:firstLine="480" w:firstLineChars="200"/>
      </w:pPr>
      <w:r>
        <w:rPr>
          <w:rFonts w:hint="eastAsia"/>
        </w:rPr>
        <w:t>符合已加入的区域伦理审查互认联盟的</w:t>
      </w:r>
      <w:r>
        <w:rPr>
          <w:rFonts w:hint="eastAsia"/>
          <w:lang w:eastAsia="zh-CN"/>
        </w:rPr>
        <w:t>简易审查</w:t>
      </w:r>
      <w:r>
        <w:rPr>
          <w:rFonts w:hint="eastAsia"/>
        </w:rPr>
        <w:t>规则。</w:t>
      </w:r>
    </w:p>
    <w:p w14:paraId="0C7E4351">
      <w:pPr>
        <w:pStyle w:val="17"/>
        <w:numPr>
          <w:ilvl w:val="0"/>
          <w:numId w:val="10"/>
        </w:numPr>
        <w:ind w:left="0" w:leftChars="0" w:firstLine="480" w:firstLineChars="200"/>
        <w:rPr>
          <w:rFonts w:hint="eastAsia"/>
          <w:b/>
          <w:bCs/>
          <w:lang w:val="en-US" w:eastAsia="zh-CN"/>
        </w:rPr>
      </w:pPr>
      <w:r>
        <w:rPr>
          <w:rFonts w:hint="eastAsia"/>
          <w:lang w:val="en-US" w:eastAsia="zh-CN"/>
        </w:rPr>
        <w:t>按照同一研究方案开展的研究项目，如北阜为组长单位牵头开展的，实行伦理审查结果认可，可以简易审查。</w:t>
      </w:r>
    </w:p>
    <w:p w14:paraId="2B38AAA9">
      <w:pPr>
        <w:ind w:firstLine="480"/>
        <w:outlineLvl w:val="9"/>
        <w:rPr>
          <w:rFonts w:hint="eastAsia"/>
          <w:b/>
          <w:bCs/>
          <w:lang w:val="en-US" w:eastAsia="zh-CN"/>
        </w:rPr>
      </w:pPr>
      <w:r>
        <w:rPr>
          <w:rFonts w:hint="eastAsia"/>
          <w:b/>
          <w:bCs/>
          <w:lang w:val="en-US" w:eastAsia="zh-CN"/>
        </w:rPr>
        <w:t>（三）紧急会议审查</w:t>
      </w:r>
    </w:p>
    <w:p w14:paraId="7E32D79D">
      <w:pPr>
        <w:ind w:firstLine="480"/>
        <w:outlineLvl w:val="9"/>
        <w:rPr>
          <w:rFonts w:hint="eastAsia"/>
        </w:rPr>
      </w:pPr>
      <w:r>
        <w:rPr>
          <w:rFonts w:hint="eastAsia"/>
        </w:rPr>
        <w:t>研究过程中出现危及</w:t>
      </w:r>
      <w:r>
        <w:rPr>
          <w:rFonts w:hint="eastAsia"/>
          <w:lang w:eastAsia="zh-CN"/>
        </w:rPr>
        <w:t>研究参与者</w:t>
      </w:r>
      <w:r>
        <w:rPr>
          <w:rFonts w:hint="eastAsia"/>
        </w:rPr>
        <w:t>生命安全的重大非预期问题，伦理委员会将召开紧急会议进行审查。</w:t>
      </w:r>
    </w:p>
    <w:p w14:paraId="594FEBF2">
      <w:pPr>
        <w:pStyle w:val="17"/>
        <w:numPr>
          <w:ilvl w:val="0"/>
          <w:numId w:val="11"/>
        </w:numPr>
        <w:ind w:left="0" w:leftChars="0" w:firstLine="400" w:firstLineChars="0"/>
        <w:rPr>
          <w:rFonts w:hint="eastAsia"/>
        </w:rPr>
      </w:pPr>
      <w:r>
        <w:rPr>
          <w:rFonts w:hint="eastAsia"/>
        </w:rPr>
        <w:t>紧急事件（如果处理延误将直接或间接影响公众利益、造成国家经济损失等紧急情况）；</w:t>
      </w:r>
    </w:p>
    <w:p w14:paraId="72E3DCD2">
      <w:pPr>
        <w:pStyle w:val="17"/>
        <w:numPr>
          <w:ilvl w:val="0"/>
          <w:numId w:val="11"/>
        </w:numPr>
        <w:ind w:left="0" w:leftChars="0" w:firstLine="400" w:firstLineChars="0"/>
        <w:rPr>
          <w:rFonts w:hint="eastAsia"/>
        </w:rPr>
      </w:pPr>
      <w:r>
        <w:rPr>
          <w:rFonts w:hint="eastAsia"/>
        </w:rPr>
        <w:t>危及研究参与者生命安全的安全性信息；</w:t>
      </w:r>
    </w:p>
    <w:p w14:paraId="720E6AA5">
      <w:pPr>
        <w:numPr>
          <w:ilvl w:val="0"/>
          <w:numId w:val="11"/>
        </w:numPr>
        <w:ind w:firstLine="400" w:firstLineChars="0"/>
        <w:outlineLvl w:val="9"/>
        <w:rPr>
          <w:rFonts w:hint="eastAsia"/>
          <w:lang w:val="en-US" w:eastAsia="zh-CN"/>
        </w:rPr>
      </w:pPr>
      <w:r>
        <w:rPr>
          <w:rFonts w:hint="eastAsia"/>
        </w:rPr>
        <w:t>伦理审查委员会认为恰当的其他理由。</w:t>
      </w:r>
    </w:p>
    <w:p w14:paraId="258EC610">
      <w:pPr>
        <w:ind w:firstLine="480"/>
        <w:outlineLvl w:val="9"/>
        <w:rPr>
          <w:rFonts w:hint="eastAsia"/>
          <w:b/>
          <w:bCs/>
          <w:lang w:val="en-US" w:eastAsia="zh-CN"/>
        </w:rPr>
      </w:pPr>
      <w:r>
        <w:rPr>
          <w:rFonts w:hint="eastAsia"/>
          <w:b/>
          <w:bCs/>
          <w:lang w:val="en-US" w:eastAsia="zh-CN"/>
        </w:rPr>
        <w:t>（四）应急审查</w:t>
      </w:r>
    </w:p>
    <w:p w14:paraId="1BD8BE3B">
      <w:pPr>
        <w:ind w:left="0" w:leftChars="0" w:firstLine="480" w:firstLineChars="0"/>
      </w:pPr>
      <w:r>
        <w:rPr>
          <w:rFonts w:hint="eastAsia"/>
          <w:lang w:val="en-US" w:eastAsia="zh-CN"/>
        </w:rPr>
        <w:t>在出现突发重大疫情风险或其他突发公共卫生事件时，可设立伦理审查快速通道，及时开展应急审查。</w:t>
      </w:r>
    </w:p>
    <w:p w14:paraId="42B4768C">
      <w:pPr>
        <w:pStyle w:val="16"/>
        <w:ind w:firstLine="480"/>
        <w:outlineLvl w:val="9"/>
      </w:pPr>
      <w:r>
        <w:rPr>
          <w:rFonts w:hint="eastAsia"/>
          <w:b/>
          <w:bCs w:val="0"/>
          <w:lang w:eastAsia="zh-CN"/>
        </w:rPr>
        <w:t>八</w:t>
      </w:r>
      <w:r>
        <w:rPr>
          <w:rFonts w:hint="eastAsia"/>
          <w:b/>
          <w:bCs w:val="0"/>
        </w:rPr>
        <w:t>、</w:t>
      </w:r>
      <w:r>
        <w:rPr>
          <w:rFonts w:hint="eastAsia"/>
        </w:rPr>
        <w:t>审查决定的传达</w:t>
      </w:r>
    </w:p>
    <w:p w14:paraId="7902427A">
      <w:pPr>
        <w:ind w:firstLine="480"/>
      </w:pPr>
      <w:r>
        <w:rPr>
          <w:rFonts w:hint="eastAsia"/>
        </w:rPr>
        <w:t>伦理委员会在做出审查决定后5个工作日内，以“伦理审查意见通知函或批件</w:t>
      </w:r>
      <w:r>
        <w:rPr>
          <w:lang w:val="en-US"/>
        </w:rPr>
        <w:t>”</w:t>
      </w:r>
      <w:r>
        <w:rPr>
          <w:rFonts w:hint="eastAsia"/>
        </w:rPr>
        <w:t>的书面方式传达审查决定。</w:t>
      </w:r>
    </w:p>
    <w:p w14:paraId="2BF164B4">
      <w:pPr>
        <w:ind w:firstLine="480"/>
      </w:pPr>
      <w:r>
        <w:rPr>
          <w:rFonts w:hint="eastAsia"/>
        </w:rPr>
        <w:t>如果对伦理审查决定有不同意见，可以向伦理委员会提交复审，还可以要求与伦理委员会委员进行直接的沟通交流。</w:t>
      </w:r>
    </w:p>
    <w:p w14:paraId="5C461CED">
      <w:pPr>
        <w:pStyle w:val="16"/>
        <w:ind w:firstLine="480"/>
        <w:outlineLvl w:val="9"/>
      </w:pPr>
      <w:r>
        <w:rPr>
          <w:rFonts w:hint="eastAsia"/>
          <w:lang w:val="en-US" w:eastAsia="zh-CN"/>
        </w:rPr>
        <w:t>九</w:t>
      </w:r>
      <w:r>
        <w:rPr>
          <w:rFonts w:hint="eastAsia"/>
        </w:rPr>
        <w:t>、伦理审查的费用</w:t>
      </w:r>
    </w:p>
    <w:p w14:paraId="753BB139">
      <w:pPr>
        <w:ind w:firstLine="480"/>
      </w:pPr>
      <w:r>
        <w:rPr>
          <w:rFonts w:hint="eastAsia"/>
        </w:rPr>
        <w:t>科研课题的经费预算应当包括伦理审查的费用。每个研究项目的伦理审查费用参考伦理委员会办公室给出的收费标准。伦理审查费归医院财务部统一管理。</w:t>
      </w:r>
    </w:p>
    <w:p w14:paraId="2C908D0E">
      <w:pPr>
        <w:pStyle w:val="16"/>
        <w:ind w:firstLine="480"/>
        <w:outlineLvl w:val="9"/>
      </w:pPr>
      <w:r>
        <w:rPr>
          <w:rFonts w:hint="eastAsia"/>
          <w:lang w:val="en-US" w:eastAsia="zh-CN"/>
        </w:rPr>
        <w:t>十</w:t>
      </w:r>
      <w:r>
        <w:rPr>
          <w:rFonts w:hint="eastAsia"/>
        </w:rPr>
        <w:t>、联系方式：</w:t>
      </w:r>
    </w:p>
    <w:p w14:paraId="44B24BF9">
      <w:pPr>
        <w:ind w:firstLine="480"/>
        <w:rPr>
          <w:rFonts w:ascii="Calibri" w:hAnsi="Calibri"/>
          <w:kern w:val="2"/>
          <w:sz w:val="21"/>
          <w:szCs w:val="21"/>
        </w:rPr>
      </w:pPr>
      <w:r>
        <w:rPr>
          <w:rFonts w:hint="eastAsia"/>
        </w:rPr>
        <w:t>伦理委员会办公室电话： 0755-82180028转8833</w:t>
      </w:r>
    </w:p>
    <w:p w14:paraId="1A68DCD0">
      <w:pPr>
        <w:ind w:firstLine="480"/>
      </w:pPr>
      <w:r>
        <w:rPr>
          <w:rFonts w:hint="eastAsia"/>
        </w:rPr>
        <w:t>地址：深圳市南山区西丽街道朗山路12号中国医学科学院阜外医院深圳医院</w:t>
      </w:r>
    </w:p>
    <w:p w14:paraId="00DB09C7">
      <w:pPr>
        <w:ind w:firstLine="480"/>
        <w:rPr>
          <w:rFonts w:hint="eastAsia" w:eastAsiaTheme="majorEastAsia"/>
          <w:lang w:eastAsia="zh-CN"/>
        </w:rPr>
      </w:pPr>
      <w:r>
        <w:rPr>
          <w:rFonts w:hint="eastAsia"/>
        </w:rPr>
        <w:t>联系人：</w:t>
      </w:r>
      <w:r>
        <w:rPr>
          <w:rFonts w:hint="eastAsia"/>
          <w:color w:val="auto"/>
          <w:lang w:val="en-US" w:eastAsia="zh-CN"/>
        </w:rPr>
        <w:t>戴志晴</w:t>
      </w:r>
    </w:p>
    <w:p w14:paraId="466428B2">
      <w:pPr>
        <w:ind w:firstLine="480"/>
      </w:pPr>
      <w:r>
        <w:rPr>
          <w:rFonts w:hint="eastAsia"/>
        </w:rPr>
        <w:t>Email：szfwyyirb@fuwai-sz.cn</w:t>
      </w:r>
    </w:p>
    <w:p w14:paraId="52C4B101">
      <w:bookmarkStart w:id="24" w:name="_GoBack"/>
      <w:bookmarkEnd w:id="24"/>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2ED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5ABF">
    <w:pPr>
      <w:pStyle w:val="5"/>
    </w:pPr>
  </w:p>
  <w:p w14:paraId="32AC0591">
    <w:pPr>
      <w:pBdr>
        <w:bottom w:val="single" w:color="auto" w:sz="4" w:space="0"/>
      </w:pBdr>
      <w:spacing w:line="225" w:lineRule="exact"/>
      <w:ind w:firstLine="180" w:firstLineChars="100"/>
    </w:pPr>
    <w:r>
      <w:rPr>
        <w:sz w:val="18"/>
      </w:rPr>
      <w:t>中国医学科学院阜外医院深圳医院伦理委员会</w:t>
    </w:r>
    <w:r>
      <w:rPr>
        <w:rFonts w:hint="eastAsia"/>
        <w:sz w:val="18"/>
        <w:lang w:val="en-US" w:eastAsia="zh-CN"/>
      </w:rPr>
      <w:t>5.0版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D90C3"/>
    <w:multiLevelType w:val="singleLevel"/>
    <w:tmpl w:val="B7FD90C3"/>
    <w:lvl w:ilvl="0" w:tentative="0">
      <w:start w:val="2"/>
      <w:numFmt w:val="chineseCounting"/>
      <w:suff w:val="nothing"/>
      <w:lvlText w:val="（%1）"/>
      <w:lvlJc w:val="left"/>
      <w:rPr>
        <w:rFonts w:hint="eastAsia"/>
      </w:rPr>
    </w:lvl>
  </w:abstractNum>
  <w:abstractNum w:abstractNumId="1">
    <w:nsid w:val="BCCFF7E8"/>
    <w:multiLevelType w:val="singleLevel"/>
    <w:tmpl w:val="BCCFF7E8"/>
    <w:lvl w:ilvl="0" w:tentative="0">
      <w:start w:val="2"/>
      <w:numFmt w:val="chineseCounting"/>
      <w:suff w:val="nothing"/>
      <w:lvlText w:val="%1、"/>
      <w:lvlJc w:val="left"/>
      <w:rPr>
        <w:rFonts w:hint="eastAsia"/>
      </w:rPr>
    </w:lvl>
  </w:abstractNum>
  <w:abstractNum w:abstractNumId="2">
    <w:nsid w:val="C9ABCE5F"/>
    <w:multiLevelType w:val="singleLevel"/>
    <w:tmpl w:val="C9ABCE5F"/>
    <w:lvl w:ilvl="0" w:tentative="0">
      <w:start w:val="1"/>
      <w:numFmt w:val="bullet"/>
      <w:pStyle w:val="17"/>
      <w:lvlText w:val=""/>
      <w:lvlJc w:val="left"/>
      <w:pPr>
        <w:ind w:left="1272" w:hanging="420"/>
      </w:pPr>
      <w:rPr>
        <w:rFonts w:hint="default" w:ascii="Wingdings" w:hAnsi="Wingdings"/>
      </w:rPr>
    </w:lvl>
  </w:abstractNum>
  <w:abstractNum w:abstractNumId="3">
    <w:nsid w:val="F3A33954"/>
    <w:multiLevelType w:val="multilevel"/>
    <w:tmpl w:val="F3A33954"/>
    <w:lvl w:ilvl="0" w:tentative="0">
      <w:start w:val="0"/>
      <w:numFmt w:val="bullet"/>
      <w:pStyle w:val="18"/>
      <w:lvlText w:val=""/>
      <w:lvlJc w:val="left"/>
      <w:pPr>
        <w:ind w:left="2291" w:hanging="420"/>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3208" w:hanging="420"/>
      </w:pPr>
      <w:rPr>
        <w:rFonts w:hint="default"/>
        <w:lang w:val="zh-CN" w:eastAsia="zh-CN" w:bidi="zh-CN"/>
      </w:rPr>
    </w:lvl>
    <w:lvl w:ilvl="2" w:tentative="0">
      <w:start w:val="0"/>
      <w:numFmt w:val="bullet"/>
      <w:lvlText w:val="•"/>
      <w:lvlJc w:val="left"/>
      <w:pPr>
        <w:ind w:left="4117" w:hanging="420"/>
      </w:pPr>
      <w:rPr>
        <w:rFonts w:hint="default"/>
        <w:lang w:val="zh-CN" w:eastAsia="zh-CN" w:bidi="zh-CN"/>
      </w:rPr>
    </w:lvl>
    <w:lvl w:ilvl="3" w:tentative="0">
      <w:start w:val="0"/>
      <w:numFmt w:val="bullet"/>
      <w:lvlText w:val="•"/>
      <w:lvlJc w:val="left"/>
      <w:pPr>
        <w:ind w:left="5025" w:hanging="420"/>
      </w:pPr>
      <w:rPr>
        <w:rFonts w:hint="default"/>
        <w:lang w:val="zh-CN" w:eastAsia="zh-CN" w:bidi="zh-CN"/>
      </w:rPr>
    </w:lvl>
    <w:lvl w:ilvl="4" w:tentative="0">
      <w:start w:val="0"/>
      <w:numFmt w:val="bullet"/>
      <w:lvlText w:val="•"/>
      <w:lvlJc w:val="left"/>
      <w:pPr>
        <w:ind w:left="5934" w:hanging="420"/>
      </w:pPr>
      <w:rPr>
        <w:rFonts w:hint="default"/>
        <w:lang w:val="zh-CN" w:eastAsia="zh-CN" w:bidi="zh-CN"/>
      </w:rPr>
    </w:lvl>
    <w:lvl w:ilvl="5" w:tentative="0">
      <w:start w:val="0"/>
      <w:numFmt w:val="bullet"/>
      <w:lvlText w:val="•"/>
      <w:lvlJc w:val="left"/>
      <w:pPr>
        <w:ind w:left="6843" w:hanging="420"/>
      </w:pPr>
      <w:rPr>
        <w:rFonts w:hint="default"/>
        <w:lang w:val="zh-CN" w:eastAsia="zh-CN" w:bidi="zh-CN"/>
      </w:rPr>
    </w:lvl>
    <w:lvl w:ilvl="6" w:tentative="0">
      <w:start w:val="0"/>
      <w:numFmt w:val="bullet"/>
      <w:lvlText w:val="•"/>
      <w:lvlJc w:val="left"/>
      <w:pPr>
        <w:ind w:left="7751" w:hanging="420"/>
      </w:pPr>
      <w:rPr>
        <w:rFonts w:hint="default"/>
        <w:lang w:val="zh-CN" w:eastAsia="zh-CN" w:bidi="zh-CN"/>
      </w:rPr>
    </w:lvl>
    <w:lvl w:ilvl="7" w:tentative="0">
      <w:start w:val="0"/>
      <w:numFmt w:val="bullet"/>
      <w:lvlText w:val="•"/>
      <w:lvlJc w:val="left"/>
      <w:pPr>
        <w:ind w:left="8660" w:hanging="420"/>
      </w:pPr>
      <w:rPr>
        <w:rFonts w:hint="default"/>
        <w:lang w:val="zh-CN" w:eastAsia="zh-CN" w:bidi="zh-CN"/>
      </w:rPr>
    </w:lvl>
    <w:lvl w:ilvl="8" w:tentative="0">
      <w:start w:val="0"/>
      <w:numFmt w:val="bullet"/>
      <w:lvlText w:val="•"/>
      <w:lvlJc w:val="left"/>
      <w:pPr>
        <w:ind w:left="9568" w:hanging="420"/>
      </w:pPr>
      <w:rPr>
        <w:rFonts w:hint="default"/>
        <w:lang w:val="zh-CN" w:eastAsia="zh-CN" w:bidi="zh-CN"/>
      </w:rPr>
    </w:lvl>
  </w:abstractNum>
  <w:abstractNum w:abstractNumId="4">
    <w:nsid w:val="37CD039F"/>
    <w:multiLevelType w:val="singleLevel"/>
    <w:tmpl w:val="37CD039F"/>
    <w:lvl w:ilvl="0" w:tentative="0">
      <w:start w:val="1"/>
      <w:numFmt w:val="decimal"/>
      <w:suff w:val="nothing"/>
      <w:lvlText w:val="%1．"/>
      <w:lvlJc w:val="left"/>
      <w:pPr>
        <w:ind w:left="0" w:firstLine="400"/>
      </w:pPr>
      <w:rPr>
        <w:rFonts w:hint="default"/>
      </w:rPr>
    </w:lvl>
  </w:abstractNum>
  <w:abstractNum w:abstractNumId="5">
    <w:nsid w:val="38E75F4C"/>
    <w:multiLevelType w:val="singleLevel"/>
    <w:tmpl w:val="38E75F4C"/>
    <w:lvl w:ilvl="0" w:tentative="0">
      <w:start w:val="1"/>
      <w:numFmt w:val="decimal"/>
      <w:lvlText w:val="(%1)"/>
      <w:lvlJc w:val="left"/>
      <w:pPr>
        <w:tabs>
          <w:tab w:val="left" w:pos="420"/>
        </w:tabs>
        <w:ind w:left="845" w:hanging="425"/>
      </w:pPr>
      <w:rPr>
        <w:rFonts w:hint="default"/>
      </w:rPr>
    </w:lvl>
  </w:abstractNum>
  <w:abstractNum w:abstractNumId="6">
    <w:nsid w:val="38EEDEF9"/>
    <w:multiLevelType w:val="singleLevel"/>
    <w:tmpl w:val="38EEDEF9"/>
    <w:lvl w:ilvl="0" w:tentative="0">
      <w:start w:val="1"/>
      <w:numFmt w:val="decimal"/>
      <w:lvlText w:val="(%1)"/>
      <w:lvlJc w:val="left"/>
      <w:pPr>
        <w:tabs>
          <w:tab w:val="left" w:pos="420"/>
        </w:tabs>
        <w:ind w:left="845" w:hanging="425"/>
      </w:pPr>
      <w:rPr>
        <w:rFonts w:hint="default"/>
      </w:rPr>
    </w:lvl>
  </w:abstractNum>
  <w:abstractNum w:abstractNumId="7">
    <w:nsid w:val="41EA79AF"/>
    <w:multiLevelType w:val="singleLevel"/>
    <w:tmpl w:val="41EA79AF"/>
    <w:lvl w:ilvl="0" w:tentative="0">
      <w:start w:val="1"/>
      <w:numFmt w:val="decimal"/>
      <w:lvlText w:val="(%1)"/>
      <w:lvlJc w:val="left"/>
      <w:pPr>
        <w:tabs>
          <w:tab w:val="left" w:pos="420"/>
        </w:tabs>
        <w:ind w:left="845" w:hanging="425"/>
      </w:pPr>
      <w:rPr>
        <w:rFonts w:hint="default"/>
      </w:rPr>
    </w:lvl>
  </w:abstractNum>
  <w:abstractNum w:abstractNumId="8">
    <w:nsid w:val="458E09E0"/>
    <w:multiLevelType w:val="singleLevel"/>
    <w:tmpl w:val="458E09E0"/>
    <w:lvl w:ilvl="0" w:tentative="0">
      <w:start w:val="1"/>
      <w:numFmt w:val="decimal"/>
      <w:suff w:val="nothing"/>
      <w:lvlText w:val="%1．"/>
      <w:lvlJc w:val="left"/>
      <w:pPr>
        <w:ind w:left="0" w:firstLine="400"/>
      </w:pPr>
      <w:rPr>
        <w:rFonts w:hint="default"/>
      </w:rPr>
    </w:lvl>
  </w:abstractNum>
  <w:abstractNum w:abstractNumId="9">
    <w:nsid w:val="49D4CAAA"/>
    <w:multiLevelType w:val="singleLevel"/>
    <w:tmpl w:val="49D4CAAA"/>
    <w:lvl w:ilvl="0" w:tentative="0">
      <w:start w:val="1"/>
      <w:numFmt w:val="decimal"/>
      <w:lvlText w:val="%1."/>
      <w:lvlJc w:val="left"/>
      <w:pPr>
        <w:tabs>
          <w:tab w:val="left" w:pos="420"/>
        </w:tabs>
        <w:ind w:left="845" w:hanging="425"/>
      </w:pPr>
      <w:rPr>
        <w:rFonts w:hint="default"/>
      </w:rPr>
    </w:lvl>
  </w:abstractNum>
  <w:abstractNum w:abstractNumId="10">
    <w:nsid w:val="7C98C781"/>
    <w:multiLevelType w:val="singleLevel"/>
    <w:tmpl w:val="7C98C781"/>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4"/>
  </w:num>
  <w:num w:numId="4">
    <w:abstractNumId w:val="1"/>
  </w:num>
  <w:num w:numId="5">
    <w:abstractNumId w:val="7"/>
  </w:num>
  <w:num w:numId="6">
    <w:abstractNumId w:val="5"/>
  </w:num>
  <w:num w:numId="7">
    <w:abstractNumId w:val="9"/>
  </w:num>
  <w:num w:numId="8">
    <w:abstractNumId w:val="6"/>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AE61FE"/>
    <w:rsid w:val="00DB3418"/>
    <w:rsid w:val="17AC163E"/>
    <w:rsid w:val="24FA52BC"/>
    <w:rsid w:val="2D0B0EAB"/>
    <w:rsid w:val="3B836C05"/>
    <w:rsid w:val="3F5A23B0"/>
    <w:rsid w:val="4A93440B"/>
    <w:rsid w:val="5A446997"/>
    <w:rsid w:val="5ACF35BC"/>
    <w:rsid w:val="62AE61FE"/>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2"/>
    <w:basedOn w:val="1"/>
    <w:next w:val="1"/>
    <w:qFormat/>
    <w:uiPriority w:val="1"/>
    <w:pPr>
      <w:spacing w:before="54"/>
      <w:ind w:left="1619" w:right="1734"/>
      <w:jc w:val="center"/>
      <w:outlineLvl w:val="1"/>
    </w:pPr>
    <w:rPr>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9">
    <w:name w:val="Hyperlink"/>
    <w:basedOn w:val="8"/>
    <w:qFormat/>
    <w:uiPriority w:val="99"/>
    <w:rPr>
      <w:color w:val="0000FF"/>
      <w:u w:val="single"/>
    </w:rPr>
  </w:style>
  <w:style w:type="paragraph" w:customStyle="1" w:styleId="10">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11">
    <w:name w:val="公文大标题"/>
    <w:basedOn w:val="6"/>
    <w:qFormat/>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2">
    <w:name w:val="公文一级标题"/>
    <w:basedOn w:val="1"/>
    <w:qFormat/>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3">
    <w:name w:val="公文正文级三级以下"/>
    <w:basedOn w:val="1"/>
    <w:qFormat/>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4">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5">
    <w:name w:val="二级：每个项目的名称（伦理）"/>
    <w:basedOn w:val="2"/>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6">
    <w:name w:val="三级A：正文小标题（伦理）"/>
    <w:basedOn w:val="3"/>
    <w:autoRedefine/>
    <w:qFormat/>
    <w:uiPriority w:val="1"/>
    <w:pPr>
      <w:keepNext w:val="0"/>
      <w:keepLines w:val="0"/>
      <w:snapToGrid w:val="0"/>
      <w:spacing w:before="14" w:after="0" w:line="338" w:lineRule="auto"/>
      <w:ind w:firstLine="0" w:firstLineChars="0"/>
      <w:jc w:val="left"/>
    </w:pPr>
    <w:rPr>
      <w:rFonts w:eastAsia="黑体"/>
      <w:b w:val="0"/>
      <w:sz w:val="24"/>
      <w:lang w:val="en-US"/>
    </w:rPr>
  </w:style>
  <w:style w:type="paragraph" w:customStyle="1" w:styleId="17">
    <w:name w:val="小箭头最底正文（伦理）"/>
    <w:basedOn w:val="1"/>
    <w:autoRedefine/>
    <w:qFormat/>
    <w:uiPriority w:val="1"/>
    <w:pPr>
      <w:numPr>
        <w:ilvl w:val="0"/>
        <w:numId w:val="1"/>
      </w:numPr>
      <w:ind w:left="850" w:leftChars="237" w:hanging="281" w:hangingChars="117"/>
    </w:pPr>
    <w:rPr>
      <w:szCs w:val="24"/>
      <w:lang w:val="en-US"/>
    </w:rPr>
  </w:style>
  <w:style w:type="paragraph" w:customStyle="1" w:styleId="18">
    <w:name w:val="黑色实点（伦理）"/>
    <w:basedOn w:val="1"/>
    <w:autoRedefine/>
    <w:qFormat/>
    <w:uiPriority w:val="0"/>
    <w:pPr>
      <w:numPr>
        <w:ilvl w:val="0"/>
        <w:numId w:val="2"/>
      </w:numPr>
      <w:ind w:left="850" w:leftChars="250" w:hanging="250" w:hangingChars="104"/>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3938</Words>
  <Characters>4021</Characters>
  <Lines>0</Lines>
  <Paragraphs>0</Paragraphs>
  <TotalTime>1</TotalTime>
  <ScaleCrop>false</ScaleCrop>
  <LinksUpToDate>false</LinksUpToDate>
  <CharactersWithSpaces>4029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2025-04-11T03:56:00Z</dcterms:created>
  <dc:creator>旦诞蛋萏</dc:creator>
  <cp:lastModifiedBy>旦诞蛋萏</cp:lastModifiedBy>
  <dcterms:modified xsi:type="dcterms:W3CDTF">2026-05-28T09:26:41Z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08CBAF76AE864E08B3ABFF8D22EE66C1_11</vt:lpwstr>
  </property>
  <property fmtid="{D5CDD505-2E9C-101B-9397-08002B2CF9AE}" pid="4" name="KSOTemplateDocerSaveRecord">
    <vt:lpwstr>eyJoZGlkIjoiNjMzYjdhNWQ1MTViNWViNmUxZGIxODliYjYyYTFlMDAiLCJ1c2VySWQiOiIzNjQzMjUyMjkifQ==</vt:lpwstr>
  </property>
</Properties>
</file>