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0"/>
          <w:szCs w:val="30"/>
        </w:rPr>
      </w:pPr>
    </w:p>
    <w:tbl>
      <w:tblPr>
        <w:tblStyle w:val="3"/>
        <w:tblW w:w="142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91"/>
        <w:gridCol w:w="857"/>
        <w:gridCol w:w="1239"/>
        <w:gridCol w:w="5816"/>
        <w:gridCol w:w="1018"/>
        <w:gridCol w:w="728"/>
        <w:gridCol w:w="1042"/>
        <w:gridCol w:w="846"/>
        <w:gridCol w:w="1762"/>
        <w:gridCol w:w="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1200" w:hRule="atLeast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spacing w:val="-3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b/>
                <w:bCs/>
                <w:spacing w:val="-3"/>
                <w:sz w:val="32"/>
                <w:szCs w:val="32"/>
                <w:lang w:val="en-US" w:eastAsia="zh-CN"/>
              </w:rPr>
              <w:t>附件2：中国医学科学院阜外医院深圳医院新增医疗服务价格项目备案表（2018年第二批）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财务分类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编码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项目内涵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除外内容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计价单位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备案价格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执行时间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120400011-1*2X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before="1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ind w:left="132" w:left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深静脉管拔除术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在严格消毒后，患者取平卧行深静脉置管拔管术。于置管处进行严格消毒，使用无菌剪刀拆除固定导管用的缝线，拔除导管，无菌纱块压迫止血20分钟，确定无出血后包扎伤口。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120400014X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5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line="292" w:lineRule="auto"/>
              <w:ind w:left="125" w:leftChars="0" w:right="200" w:rightChars="0" w:hanging="1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功能不良导管处理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对于导管在使用过程中出现出血不畅，经过一系列检查考虑有血栓形成，需要用溶栓药物治疗导管功能不良。一般用溶栓药物封堵导管的管腔，保留一段时间后抽出溶栓药物，可以重复两至三次上述过程。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120800004X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129" w:line="288" w:lineRule="auto"/>
              <w:ind w:left="118" w:leftChars="0" w:right="203" w:rightChars="0" w:firstLine="3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经鼻空肠内营养管置入术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不含非血管介入临床操作数字减影（DSA）引导费用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210200010X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52"/>
              <w:ind w:left="118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磁共振弥散加权</w:t>
            </w:r>
          </w:p>
          <w:p>
            <w:pPr>
              <w:pStyle w:val="5"/>
              <w:spacing w:before="61" w:line="245" w:lineRule="exact"/>
              <w:ind w:left="116" w:left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成像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H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250301024X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before="8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before="1"/>
              <w:ind w:left="112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肝素结合蛋白</w:t>
            </w:r>
          </w:p>
          <w:p>
            <w:pPr>
              <w:pStyle w:val="5"/>
              <w:spacing w:before="59"/>
              <w:ind w:left="221" w:left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CHBP)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HBP的检测是通过应用免疫荧光技术，采用双抗夹心法，将待测样本与检测缓冲液混匀，检测缓冲液中的荧光标记抗体会与HBP抗原结合，从而检测HBP在样本中的浓度。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H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250401038X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before="132" w:line="288" w:lineRule="auto"/>
              <w:ind w:left="104" w:leftChars="0" w:right="218" w:rightChars="0" w:firstLine="2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淋巴细胞亚群绝对计数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样本类型：血液。样本采集、签收、处理，单克隆荧光抗体标定抗凝血，孵育，固定，计数，质控，检测样本，审核结果，录入实验室信息系统或人工登记，发送报告；按规定处理废弃物；接受临床相关咨询。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不可同时收取淋巴细胞免疫分析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300000000*20X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精准手术 3D 分析规划系统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括脑部、胸部、腹部器官三维可视化诊疗；腹腔、盆腔、脑部实体肿瘤的三维可视化诊疗；腹部解剖关系的肝、胆、胰、脾外科手术三维可视化诊疗；消化道系统的食道、胃肠肿瘤三维可视化诊疗；盆腔解剖关系的肾脏、膀胱、前列腺、子宫、附件复杂的肿瘤三维可视化诊疗；骨骼、乳腺、甲状腺、淋巴、支气管、神经等三维可视化诊疗；脑部、胸部、腹部大血管病变手术三维可视化诊疗。含相关部位的三维可视化诊疗图文报告，不含CT、核磁的检查费用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每部位是指脏器部位、与脏器病变相关的血供系统及神经系统等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310100035X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8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before="1" w:line="302" w:lineRule="auto"/>
              <w:ind w:left="117" w:leftChars="0" w:right="207" w:rightChars="0" w:firstLine="2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脑卒中超早期静脉溶栓治疗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建立急诊静脉溶栓绿色通道；溶栓治疗时间（door-to-needle time，DNT）控制在发病60分钟以内。对患者进行快速识别并评估，监测基本生命体征，必要时进行心肺支持（气道、呼吸、循环）等。建立急诊静脉溶栓绿色通道：多学科通力协作，成立专门溶栓小组，排除溶栓禁忌症后评估风险和获益，静脉溶栓治疗。溶栓过程中医生及护士全程监护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311000045X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138" w:line="312" w:lineRule="auto"/>
              <w:ind w:left="113" w:leftChars="0" w:right="211" w:rightChars="0" w:firstLine="2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功能不良内搂溶栓处理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对于内瘘在使用过程中出现出血不畅，不能保证足够的血流量供血液净化治疗，经过一系列检查考虑有血栓形成，需要用溶栓药物治疗内瘘功能不良。一般用尿激酶等溶栓药物注射进瘘管，保留一段时间后观察内瘘通畅程度是否改善。必要时可以重复两至三次上述过程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320500018X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line="307" w:lineRule="auto"/>
              <w:ind w:left="126" w:leftChars="0" w:right="174" w:rightChars="0" w:firstLine="4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冠脉光学相干断 层扫描 ( OCT) 检查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备有除颤仪及除颤电极的条件下，消毒铺巾，局部麻醉，穿刺动脉，放置鞘管，冠状动脉造影后经鞘管在监护仪监护及DSA引导下，沿引导钢丝将指引导管送至冠状动脉开口，根据冠状动脉造影结果决定需要检查的病变，沿指引钢丝将OCT导管送至病变以远1-2厘米处，经灌注腔注入硝酸甘油后充盈球囊阻断血流，持续生理盐水灌注，打开光学相干断层扫描仪回撤导管，观察病变并记录分析影像。含冠脉造影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330100018-3X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2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ind w:right="464" w:rightChars="0"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输液港调整术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不含非血管介入临床操作数字减影（DSA）引导费用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首次置入除外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330100027X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124" w:line="307" w:lineRule="auto"/>
              <w:ind w:left="118" w:leftChars="0" w:right="214" w:rightChars="0" w:hanging="1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术中脑氧饱和度监测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通过放置于颅骨上的发光电极，感应脑氧饱合度的变化，监测仪自动记录分析数据变化。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小时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330100028X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139" w:line="307" w:lineRule="auto"/>
              <w:ind w:left="112" w:leftChars="0" w:right="219" w:right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麻醉监护下镇静术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指在麻醉监护下注射镇静药物和麻醉性镇痛药物，为有创操作提供条件。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监护项目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2小时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不另收麻醉费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330804071S-3X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spacing w:before="52"/>
              <w:ind w:left="112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下肢静脉曲张治</w:t>
            </w:r>
          </w:p>
          <w:p>
            <w:pPr>
              <w:pStyle w:val="5"/>
              <w:spacing w:before="64" w:line="235" w:lineRule="exact"/>
              <w:ind w:left="105" w:leftChars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疗术－微波治疗</w:t>
            </w:r>
          </w:p>
        </w:tc>
        <w:tc>
          <w:tcPr>
            <w:tcW w:w="5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包括单侧大隐静脉、小隐静脉、交通支及穿通支静脉的微波闭合处理。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一次性微波手术电极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单侧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sz w:val="30"/>
          <w:szCs w:val="30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3E4F"/>
    <w:rsid w:val="61683E4F"/>
    <w:rsid w:val="6C3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2020-02-11T07:49:00Z</dcterms:created>
  <dc:creator>嗷嗷</dc:creator>
  <cp:lastModifiedBy>嗷嗷</cp:lastModifiedBy>
  <dcterms:modified xsi:type="dcterms:W3CDTF">2020-02-11T08:02:31Z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