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22E20">
      <w:pPr>
        <w:ind w:left="0" w:leftChars="0" w:firstLine="0" w:firstLineChars="0"/>
        <w:rPr>
          <w:rFonts w:hint="eastAsia" w:eastAsiaTheme="majorEastAsia"/>
          <w:lang w:eastAsia="zh-CN"/>
        </w:rPr>
      </w:pPr>
      <w:bookmarkStart w:id="0" w:name="_Toc14203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</w:t>
      </w:r>
      <w:r>
        <w:rPr>
          <w:rFonts w:hint="eastAsia"/>
          <w:lang w:val="en-US"/>
        </w:rPr>
        <w:t>1</w:t>
      </w:r>
      <w:r>
        <w:rPr>
          <w:rFonts w:hint="eastAsia"/>
          <w:lang w:val="en-US" w:eastAsia="zh-CN"/>
        </w:rPr>
        <w:t>7</w:t>
      </w:r>
      <w:bookmarkStart w:id="1" w:name="_GoBack"/>
      <w:bookmarkEnd w:id="1"/>
      <w:r>
        <w:rPr>
          <w:rFonts w:hint="eastAsia"/>
          <w:lang w:eastAsia="zh-CN"/>
        </w:rPr>
        <w:t>(5.0)</w:t>
      </w:r>
    </w:p>
    <w:p w14:paraId="6575C40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严重不良事件/可疑且非预期严重不良反应报告表</w:t>
      </w:r>
      <w:bookmarkEnd w:id="0"/>
    </w:p>
    <w:tbl>
      <w:tblPr>
        <w:tblStyle w:val="6"/>
        <w:tblW w:w="935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1606"/>
        <w:gridCol w:w="1504"/>
        <w:gridCol w:w="718"/>
        <w:gridCol w:w="328"/>
        <w:gridCol w:w="515"/>
        <w:gridCol w:w="7"/>
        <w:gridCol w:w="271"/>
        <w:gridCol w:w="336"/>
        <w:gridCol w:w="578"/>
        <w:gridCol w:w="369"/>
        <w:gridCol w:w="521"/>
        <w:gridCol w:w="471"/>
        <w:gridCol w:w="569"/>
        <w:gridCol w:w="1563"/>
      </w:tblGrid>
      <w:tr w14:paraId="7E70F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24" w:hRule="atLeast"/>
        </w:trPr>
        <w:tc>
          <w:tcPr>
            <w:tcW w:w="1606" w:type="dxa"/>
            <w:vAlign w:val="center"/>
          </w:tcPr>
          <w:p w14:paraId="36A4A5F1">
            <w:pPr>
              <w:spacing w:line="276" w:lineRule="auto"/>
              <w:ind w:firstLine="43" w:firstLineChars="18"/>
              <w:jc w:val="center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报告内容</w:t>
            </w:r>
          </w:p>
        </w:tc>
        <w:tc>
          <w:tcPr>
            <w:tcW w:w="2222" w:type="dxa"/>
            <w:gridSpan w:val="2"/>
            <w:vAlign w:val="top"/>
          </w:tcPr>
          <w:p w14:paraId="47BEB76B">
            <w:pPr>
              <w:pStyle w:val="13"/>
              <w:spacing w:before="197" w:line="239" w:lineRule="auto"/>
              <w:ind w:left="0" w:leftChars="0" w:firstLine="0" w:firstLineChars="0"/>
              <w:rPr>
                <w:rFonts w:hint="eastAsia" w:cs="仿宋" w:eastAsiaTheme="majorEastAsia"/>
                <w:color w:val="000000"/>
                <w:sz w:val="24"/>
                <w:szCs w:val="24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4"/>
                <w:szCs w:val="24"/>
                <w:lang w:eastAsia="zh-CN" w:bidi="zh-CN"/>
              </w:rPr>
              <w:t>□SAE   □SUSAR</w:t>
            </w:r>
          </w:p>
        </w:tc>
        <w:tc>
          <w:tcPr>
            <w:tcW w:w="1457" w:type="dxa"/>
            <w:gridSpan w:val="5"/>
            <w:vAlign w:val="top"/>
          </w:tcPr>
          <w:p w14:paraId="4F708240">
            <w:pPr>
              <w:pStyle w:val="13"/>
              <w:spacing w:before="197" w:line="219" w:lineRule="auto"/>
              <w:ind w:left="0" w:leftChars="0" w:firstLine="0" w:firstLineChars="0"/>
              <w:rPr>
                <w:rFonts w:hint="eastAsia" w:cs="仿宋" w:eastAsiaTheme="majorEastAsia"/>
                <w:color w:val="000000"/>
                <w:sz w:val="24"/>
                <w:szCs w:val="24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4"/>
                <w:szCs w:val="24"/>
                <w:lang w:eastAsia="zh-CN" w:bidi="zh-CN"/>
              </w:rPr>
              <w:t>项目类别</w:t>
            </w:r>
          </w:p>
        </w:tc>
        <w:tc>
          <w:tcPr>
            <w:tcW w:w="4071" w:type="dxa"/>
            <w:gridSpan w:val="6"/>
            <w:vAlign w:val="top"/>
          </w:tcPr>
          <w:p w14:paraId="52123779">
            <w:pPr>
              <w:pStyle w:val="13"/>
              <w:spacing w:before="197" w:line="219" w:lineRule="auto"/>
              <w:ind w:left="0" w:leftChars="0" w:firstLine="0" w:firstLineChars="0"/>
              <w:rPr>
                <w:rFonts w:hint="eastAsia" w:cs="仿宋" w:eastAsiaTheme="majorEastAsia"/>
                <w:color w:val="000000"/>
                <w:sz w:val="24"/>
                <w:szCs w:val="24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4"/>
                <w:szCs w:val="24"/>
                <w:lang w:eastAsia="zh-CN" w:bidi="zh-CN"/>
              </w:rPr>
              <w:t>□药物  □医疗器械  □临床科研</w:t>
            </w:r>
          </w:p>
        </w:tc>
      </w:tr>
      <w:tr w14:paraId="608FA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75" w:hRule="atLeast"/>
        </w:trPr>
        <w:tc>
          <w:tcPr>
            <w:tcW w:w="1606" w:type="dxa"/>
            <w:vAlign w:val="center"/>
          </w:tcPr>
          <w:p w14:paraId="7BC31321">
            <w:pPr>
              <w:spacing w:line="276" w:lineRule="auto"/>
              <w:ind w:firstLine="43" w:firstLineChars="18"/>
              <w:jc w:val="center"/>
              <w:rPr>
                <w:rFonts w:hint="eastAsia" w:cs="仿宋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</w:rPr>
              <w:t>报告类型</w:t>
            </w:r>
          </w:p>
        </w:tc>
        <w:tc>
          <w:tcPr>
            <w:tcW w:w="4257" w:type="dxa"/>
            <w:gridSpan w:val="8"/>
            <w:vAlign w:val="center"/>
          </w:tcPr>
          <w:p w14:paraId="7FEE0517">
            <w:pPr>
              <w:spacing w:line="276" w:lineRule="auto"/>
              <w:ind w:left="0" w:leftChars="-25" w:hanging="60" w:hangingChars="25"/>
              <w:rPr>
                <w:rFonts w:hint="eastAsia" w:cs="仿宋" w:eastAsiaTheme="majorEastAsia"/>
                <w:color w:val="000000"/>
                <w:spacing w:val="0"/>
                <w:sz w:val="24"/>
                <w:szCs w:val="24"/>
                <w:lang w:eastAsia="zh-CN" w:bidi="zh-CN"/>
              </w:rPr>
            </w:pPr>
            <w:r>
              <w:rPr>
                <w:rFonts w:hint="eastAsia" w:cs="仿宋"/>
                <w:color w:val="000000"/>
                <w:szCs w:val="24"/>
              </w:rPr>
              <w:t>□首次报告</w:t>
            </w:r>
            <w:r>
              <w:rPr>
                <w:rFonts w:cs="仿宋"/>
                <w:color w:val="000000"/>
                <w:szCs w:val="24"/>
              </w:rPr>
              <w:t xml:space="preserve"> </w:t>
            </w:r>
            <w:r>
              <w:rPr>
                <w:rFonts w:hint="eastAsia" w:cs="仿宋"/>
                <w:color w:val="000000"/>
                <w:szCs w:val="24"/>
              </w:rPr>
              <w:t>□随访报告</w:t>
            </w:r>
            <w:r>
              <w:rPr>
                <w:rFonts w:cs="仿宋"/>
                <w:color w:val="000000"/>
                <w:szCs w:val="24"/>
              </w:rPr>
              <w:t xml:space="preserve">  </w:t>
            </w:r>
            <w:r>
              <w:rPr>
                <w:rFonts w:hint="eastAsia" w:cs="仿宋"/>
                <w:color w:val="000000"/>
                <w:szCs w:val="24"/>
              </w:rPr>
              <w:t>□总结报告</w:t>
            </w:r>
          </w:p>
        </w:tc>
        <w:tc>
          <w:tcPr>
            <w:tcW w:w="3493" w:type="dxa"/>
            <w:gridSpan w:val="5"/>
            <w:vAlign w:val="center"/>
          </w:tcPr>
          <w:p w14:paraId="32B69BF8">
            <w:pPr>
              <w:spacing w:line="276" w:lineRule="auto"/>
              <w:ind w:left="0" w:leftChars="-25" w:hanging="60" w:hangingChars="25"/>
              <w:rPr>
                <w:rFonts w:hint="default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报告时间：     年   月   日</w:t>
            </w:r>
          </w:p>
        </w:tc>
      </w:tr>
      <w:tr w14:paraId="237B3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17" w:hRule="atLeast"/>
        </w:trPr>
        <w:tc>
          <w:tcPr>
            <w:tcW w:w="1606" w:type="dxa"/>
            <w:vAlign w:val="center"/>
          </w:tcPr>
          <w:p w14:paraId="0709B2BC">
            <w:pPr>
              <w:spacing w:line="276" w:lineRule="auto"/>
              <w:ind w:firstLine="43" w:firstLineChars="18"/>
              <w:jc w:val="center"/>
              <w:rPr>
                <w:rFonts w:hint="default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伦理批件号</w:t>
            </w:r>
          </w:p>
        </w:tc>
        <w:tc>
          <w:tcPr>
            <w:tcW w:w="7750" w:type="dxa"/>
            <w:gridSpan w:val="13"/>
            <w:vAlign w:val="center"/>
          </w:tcPr>
          <w:p w14:paraId="19FC8A02">
            <w:pPr>
              <w:spacing w:line="276" w:lineRule="auto"/>
              <w:ind w:left="0" w:leftChars="-25" w:hanging="60" w:hangingChars="25"/>
              <w:rPr>
                <w:rFonts w:hint="eastAsia" w:cs="仿宋"/>
                <w:color w:val="000000"/>
                <w:szCs w:val="24"/>
                <w:lang w:val="en-US" w:eastAsia="zh-CN"/>
              </w:rPr>
            </w:pPr>
          </w:p>
        </w:tc>
      </w:tr>
      <w:tr w14:paraId="20D9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4" w:hRule="atLeast"/>
        </w:trPr>
        <w:tc>
          <w:tcPr>
            <w:tcW w:w="1606" w:type="dxa"/>
            <w:vAlign w:val="center"/>
          </w:tcPr>
          <w:p w14:paraId="15EA1F61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项目名称</w:t>
            </w:r>
          </w:p>
        </w:tc>
        <w:tc>
          <w:tcPr>
            <w:tcW w:w="7750" w:type="dxa"/>
            <w:gridSpan w:val="13"/>
            <w:vAlign w:val="center"/>
          </w:tcPr>
          <w:p w14:paraId="3657FCF4">
            <w:pPr>
              <w:spacing w:line="276" w:lineRule="auto"/>
              <w:ind w:leftChars="-25" w:hanging="60" w:hangingChars="25"/>
              <w:rPr>
                <w:rFonts w:cs="仿宋"/>
                <w:color w:val="000000"/>
                <w:szCs w:val="24"/>
              </w:rPr>
            </w:pPr>
          </w:p>
        </w:tc>
      </w:tr>
      <w:tr w14:paraId="0201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14" w:hRule="atLeast"/>
        </w:trPr>
        <w:tc>
          <w:tcPr>
            <w:tcW w:w="1606" w:type="dxa"/>
            <w:vAlign w:val="center"/>
          </w:tcPr>
          <w:p w14:paraId="4D7BBE3F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研究科室</w:t>
            </w:r>
          </w:p>
        </w:tc>
        <w:tc>
          <w:tcPr>
            <w:tcW w:w="2222" w:type="dxa"/>
            <w:gridSpan w:val="2"/>
            <w:vAlign w:val="center"/>
          </w:tcPr>
          <w:p w14:paraId="0BF58B38">
            <w:pPr>
              <w:spacing w:line="276" w:lineRule="auto"/>
              <w:ind w:leftChars="-25" w:hanging="60" w:hangingChars="25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1457" w:type="dxa"/>
            <w:gridSpan w:val="5"/>
            <w:vAlign w:val="center"/>
          </w:tcPr>
          <w:p w14:paraId="0EA6EC2F">
            <w:pPr>
              <w:spacing w:line="276" w:lineRule="auto"/>
              <w:ind w:leftChars="-25" w:hanging="60" w:hangingChars="25"/>
              <w:jc w:val="left"/>
              <w:rPr>
                <w:rFonts w:hint="default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</w:rPr>
              <w:t>主要研究者</w:t>
            </w:r>
          </w:p>
        </w:tc>
        <w:tc>
          <w:tcPr>
            <w:tcW w:w="4071" w:type="dxa"/>
            <w:gridSpan w:val="6"/>
            <w:vAlign w:val="center"/>
          </w:tcPr>
          <w:p w14:paraId="070C3DDF">
            <w:pPr>
              <w:spacing w:line="276" w:lineRule="auto"/>
              <w:ind w:leftChars="-25" w:hanging="60" w:hangingChars="25"/>
              <w:rPr>
                <w:rFonts w:cs="仿宋"/>
                <w:color w:val="000000"/>
                <w:szCs w:val="24"/>
              </w:rPr>
            </w:pPr>
          </w:p>
        </w:tc>
      </w:tr>
      <w:tr w14:paraId="239F5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</w:trPr>
        <w:tc>
          <w:tcPr>
            <w:tcW w:w="1606" w:type="dxa"/>
            <w:vAlign w:val="center"/>
          </w:tcPr>
          <w:p w14:paraId="6EC0B9F3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  <w:lang w:val="en-US"/>
              </w:rPr>
            </w:pPr>
            <w:r>
              <w:rPr>
                <w:rFonts w:hint="eastAsia" w:cs="仿宋"/>
                <w:color w:val="000000"/>
                <w:szCs w:val="24"/>
                <w:lang w:val="en-US"/>
              </w:rPr>
              <w:t>事件名称</w:t>
            </w:r>
          </w:p>
        </w:tc>
        <w:tc>
          <w:tcPr>
            <w:tcW w:w="7750" w:type="dxa"/>
            <w:gridSpan w:val="13"/>
            <w:vAlign w:val="center"/>
          </w:tcPr>
          <w:p w14:paraId="4A073961">
            <w:pPr>
              <w:spacing w:line="276" w:lineRule="auto"/>
              <w:ind w:leftChars="-25" w:hanging="60" w:hangingChars="25"/>
              <w:rPr>
                <w:rFonts w:cs="仿宋"/>
                <w:color w:val="000000"/>
                <w:szCs w:val="24"/>
              </w:rPr>
            </w:pPr>
          </w:p>
        </w:tc>
      </w:tr>
      <w:tr w14:paraId="1895F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</w:trPr>
        <w:tc>
          <w:tcPr>
            <w:tcW w:w="1606" w:type="dxa"/>
            <w:vAlign w:val="center"/>
          </w:tcPr>
          <w:p w14:paraId="4968787D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研究涉及试验药物/器械/干预措施</w:t>
            </w:r>
          </w:p>
        </w:tc>
        <w:tc>
          <w:tcPr>
            <w:tcW w:w="7750" w:type="dxa"/>
            <w:gridSpan w:val="13"/>
          </w:tcPr>
          <w:p w14:paraId="5385714A">
            <w:pPr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□药物：</w:t>
            </w:r>
            <w:r>
              <w:rPr>
                <w:rFonts w:hint="eastAsia" w:cs="仿宋"/>
                <w:color w:val="000000"/>
                <w:szCs w:val="24"/>
                <w:lang w:eastAsia="zh-CN"/>
              </w:rPr>
              <w:t>□</w:t>
            </w:r>
            <w:r>
              <w:rPr>
                <w:rFonts w:hint="eastAsia" w:cs="仿宋"/>
                <w:color w:val="000000"/>
                <w:szCs w:val="24"/>
              </w:rPr>
              <w:t>中药  □化学药 □治疗用生物制品 □预防用生物制品</w:t>
            </w:r>
          </w:p>
          <w:p w14:paraId="37C015DE">
            <w:pPr>
              <w:ind w:firstLine="960" w:firstLineChars="400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□其他</w:t>
            </w:r>
            <w:r>
              <w:rPr>
                <w:rFonts w:hint="eastAsia" w:cs="仿宋"/>
                <w:color w:val="000000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cs="仿宋"/>
                <w:color w:val="000000"/>
                <w:szCs w:val="24"/>
              </w:rPr>
              <w:t xml:space="preserve">□Ⅰ期 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仿宋"/>
                <w:color w:val="000000"/>
                <w:szCs w:val="24"/>
              </w:rPr>
              <w:t xml:space="preserve">□Ⅱ期  □Ⅲ 期   □Ⅳ期  </w:t>
            </w:r>
          </w:p>
          <w:p w14:paraId="0B4BEEDA">
            <w:pPr>
              <w:ind w:firstLine="960" w:firstLineChars="400"/>
            </w:pPr>
            <w:r>
              <w:rPr>
                <w:rFonts w:hint="eastAsia" w:cs="仿宋"/>
                <w:color w:val="000000"/>
                <w:szCs w:val="24"/>
              </w:rPr>
              <w:t>□生物等效性试验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 </w:t>
            </w:r>
          </w:p>
          <w:p w14:paraId="59FC1C0B">
            <w:pPr>
              <w:spacing w:line="276" w:lineRule="auto"/>
              <w:ind w:left="461" w:leftChars="192" w:firstLine="511" w:firstLineChars="213"/>
              <w:rPr>
                <w:rFonts w:hint="eastAsia" w:cs="仿宋" w:eastAsiaTheme="majorEastAsia"/>
                <w:color w:val="000000"/>
                <w:szCs w:val="24"/>
                <w:lang w:eastAsia="zh-CN"/>
              </w:rPr>
            </w:pPr>
            <w:r>
              <w:rPr>
                <w:rFonts w:hint="eastAsia" w:cs="仿宋"/>
                <w:color w:val="000000"/>
                <w:szCs w:val="24"/>
              </w:rPr>
              <w:t>□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临床验证</w:t>
            </w:r>
          </w:p>
          <w:p w14:paraId="689EDAF0">
            <w:pPr>
              <w:spacing w:line="276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□医疗器械</w:t>
            </w:r>
          </w:p>
          <w:p w14:paraId="23D04E91">
            <w:pPr>
              <w:spacing w:line="276" w:lineRule="auto"/>
              <w:ind w:firstLine="0" w:firstLineChars="0"/>
              <w:rPr>
                <w:rFonts w:cs="仿宋"/>
                <w:color w:val="000000"/>
                <w:szCs w:val="24"/>
                <w:u w:val="single"/>
              </w:rPr>
            </w:pPr>
            <w:r>
              <w:rPr>
                <w:rFonts w:hint="eastAsia" w:cs="仿宋"/>
                <w:color w:val="000000"/>
                <w:szCs w:val="24"/>
              </w:rPr>
              <w:t>□其他干预措施请描述：</w:t>
            </w:r>
            <w:r>
              <w:rPr>
                <w:rFonts w:hint="eastAsia" w:cs="仿宋"/>
                <w:color w:val="000000"/>
                <w:szCs w:val="24"/>
                <w:u w:val="single"/>
              </w:rPr>
              <w:t xml:space="preserve">                        </w:t>
            </w:r>
            <w:r>
              <w:rPr>
                <w:rFonts w:hint="eastAsia" w:cs="仿宋"/>
                <w:color w:val="000000"/>
                <w:szCs w:val="24"/>
              </w:rPr>
              <w:t xml:space="preserve">   </w:t>
            </w:r>
          </w:p>
        </w:tc>
      </w:tr>
      <w:tr w14:paraId="11340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59" w:hRule="atLeast"/>
        </w:trPr>
        <w:tc>
          <w:tcPr>
            <w:tcW w:w="1606" w:type="dxa"/>
            <w:vMerge w:val="restart"/>
            <w:vAlign w:val="center"/>
          </w:tcPr>
          <w:p w14:paraId="3B4FA7FA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</w:rPr>
              <w:t>基本情况</w:t>
            </w:r>
          </w:p>
        </w:tc>
        <w:tc>
          <w:tcPr>
            <w:tcW w:w="3343" w:type="dxa"/>
            <w:gridSpan w:val="6"/>
            <w:vAlign w:val="top"/>
          </w:tcPr>
          <w:p w14:paraId="02275B31">
            <w:pPr>
              <w:pStyle w:val="13"/>
              <w:spacing w:before="174" w:line="219" w:lineRule="auto"/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  <w:lang w:val="en-US"/>
              </w:rPr>
            </w:pPr>
            <w:r>
              <w:rPr>
                <w:spacing w:val="-1"/>
                <w:sz w:val="24"/>
                <w:szCs w:val="24"/>
              </w:rPr>
              <w:t>姓名拼音首字母缩写或编码：</w:t>
            </w:r>
          </w:p>
        </w:tc>
        <w:tc>
          <w:tcPr>
            <w:tcW w:w="2275" w:type="dxa"/>
            <w:gridSpan w:val="5"/>
            <w:vAlign w:val="top"/>
          </w:tcPr>
          <w:p w14:paraId="322D0A5A">
            <w:pPr>
              <w:pStyle w:val="13"/>
              <w:spacing w:before="174" w:line="219" w:lineRule="auto"/>
              <w:ind w:left="456" w:leftChars="0" w:hanging="456" w:hangingChars="200"/>
              <w:rPr>
                <w:spacing w:val="9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出生日期：</w:t>
            </w:r>
            <w:r>
              <w:rPr>
                <w:spacing w:val="9"/>
                <w:sz w:val="24"/>
                <w:szCs w:val="24"/>
              </w:rPr>
              <w:t xml:space="preserve">     </w:t>
            </w:r>
          </w:p>
          <w:p w14:paraId="3B1DA05A">
            <w:pPr>
              <w:pStyle w:val="13"/>
              <w:spacing w:before="174" w:line="219" w:lineRule="auto"/>
              <w:ind w:left="451" w:leftChars="188" w:firstLine="228" w:firstLineChars="100"/>
              <w:rPr>
                <w:rFonts w:cs="仿宋"/>
                <w:color w:val="000000"/>
                <w:sz w:val="24"/>
                <w:szCs w:val="24"/>
                <w:lang w:val="en-US"/>
              </w:rPr>
            </w:pPr>
            <w:r>
              <w:rPr>
                <w:spacing w:val="-6"/>
                <w:sz w:val="24"/>
                <w:szCs w:val="24"/>
              </w:rPr>
              <w:t>年</w:t>
            </w:r>
            <w:r>
              <w:rPr>
                <w:spacing w:val="4"/>
                <w:sz w:val="24"/>
                <w:szCs w:val="24"/>
              </w:rPr>
              <w:t xml:space="preserve">   </w:t>
            </w:r>
            <w:r>
              <w:rPr>
                <w:spacing w:val="-6"/>
                <w:sz w:val="24"/>
                <w:szCs w:val="24"/>
              </w:rPr>
              <w:t>月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/>
                <w:spacing w:val="1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日</w:t>
            </w:r>
          </w:p>
        </w:tc>
        <w:tc>
          <w:tcPr>
            <w:tcW w:w="2132" w:type="dxa"/>
            <w:gridSpan w:val="2"/>
            <w:vAlign w:val="top"/>
          </w:tcPr>
          <w:p w14:paraId="112915CD">
            <w:pPr>
              <w:pStyle w:val="13"/>
              <w:spacing w:before="174" w:line="219" w:lineRule="auto"/>
              <w:ind w:left="0" w:leftChars="0" w:firstLine="0" w:firstLineChars="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性别：</w:t>
            </w:r>
          </w:p>
          <w:p w14:paraId="1929DACC">
            <w:pPr>
              <w:pStyle w:val="13"/>
              <w:spacing w:before="174" w:line="219" w:lineRule="auto"/>
              <w:ind w:left="0" w:leftChars="0" w:firstLine="0" w:firstLineChars="0"/>
              <w:rPr>
                <w:rFonts w:hint="eastAsia" w:cs="仿宋"/>
                <w:color w:val="000000"/>
                <w:sz w:val="24"/>
                <w:szCs w:val="24"/>
              </w:rPr>
            </w:pPr>
            <w:r>
              <w:rPr>
                <w:spacing w:val="-63"/>
                <w:sz w:val="24"/>
                <w:szCs w:val="24"/>
              </w:rPr>
              <w:t xml:space="preserve"> </w:t>
            </w:r>
            <w:r>
              <w:rPr>
                <w:spacing w:val="-9"/>
                <w:sz w:val="24"/>
                <w:szCs w:val="24"/>
              </w:rPr>
              <w:t>□男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9"/>
                <w:sz w:val="24"/>
                <w:szCs w:val="24"/>
              </w:rPr>
              <w:t>□女</w:t>
            </w:r>
          </w:p>
        </w:tc>
      </w:tr>
      <w:tr w14:paraId="393A1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4" w:hRule="atLeast"/>
        </w:trPr>
        <w:tc>
          <w:tcPr>
            <w:tcW w:w="1606" w:type="dxa"/>
            <w:vMerge w:val="continue"/>
            <w:vAlign w:val="center"/>
          </w:tcPr>
          <w:p w14:paraId="67D12072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7750" w:type="dxa"/>
            <w:gridSpan w:val="13"/>
          </w:tcPr>
          <w:p w14:paraId="09EC8123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合并疾病及治疗： □有   □无</w:t>
            </w:r>
          </w:p>
          <w:p w14:paraId="52582A79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1.疾病：          治疗药物：          用法用量：</w:t>
            </w:r>
          </w:p>
          <w:p w14:paraId="29D7DC23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2.疾病：          治疗药物：          用法用量：</w:t>
            </w:r>
          </w:p>
          <w:p w14:paraId="6FE3096B">
            <w:pPr>
              <w:spacing w:line="360" w:lineRule="auto"/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3.疾病：          治疗药物：          用法用量：</w:t>
            </w:r>
          </w:p>
        </w:tc>
      </w:tr>
      <w:tr w14:paraId="0F06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001" w:hRule="atLeast"/>
        </w:trPr>
        <w:tc>
          <w:tcPr>
            <w:tcW w:w="1606" w:type="dxa"/>
            <w:vMerge w:val="continue"/>
            <w:vAlign w:val="center"/>
          </w:tcPr>
          <w:p w14:paraId="4BCB35B0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0" w:type="dxa"/>
            <w:gridSpan w:val="3"/>
            <w:vAlign w:val="top"/>
          </w:tcPr>
          <w:p w14:paraId="2EB9DD10">
            <w:pPr>
              <w:pStyle w:val="13"/>
              <w:spacing w:before="175" w:line="371" w:lineRule="auto"/>
              <w:ind w:left="0" w:leftChars="0" w:right="106" w:rightChars="0" w:firstLine="0" w:firstLineChars="0"/>
              <w:rPr>
                <w:rFonts w:hint="eastAsia"/>
                <w:spacing w:val="-2"/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 xml:space="preserve">饮酒史□无 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□有</w:t>
            </w:r>
          </w:p>
          <w:p w14:paraId="0D0B5A69">
            <w:pPr>
              <w:rPr>
                <w:rFonts w:hint="eastAsia" w:cs="仿宋"/>
                <w:color w:val="000000"/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肝病史□无</w:t>
            </w:r>
            <w:r>
              <w:rPr>
                <w:rFonts w:hint="eastAsia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仿宋"/>
                <w:color w:val="000000"/>
                <w:sz w:val="24"/>
                <w:szCs w:val="24"/>
              </w:rPr>
              <w:t>□有</w:t>
            </w:r>
          </w:p>
        </w:tc>
        <w:tc>
          <w:tcPr>
            <w:tcW w:w="2597" w:type="dxa"/>
            <w:gridSpan w:val="7"/>
            <w:vAlign w:val="top"/>
          </w:tcPr>
          <w:p w14:paraId="0C1CA41F">
            <w:pPr>
              <w:pStyle w:val="13"/>
              <w:spacing w:before="175" w:line="371" w:lineRule="auto"/>
              <w:ind w:left="0" w:leftChars="0" w:right="11" w:rightChars="0" w:firstLine="0" w:firstLineChars="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吸烟史□无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>□有</w:t>
            </w:r>
          </w:p>
          <w:p w14:paraId="08E67D8B">
            <w:pPr>
              <w:rPr>
                <w:rFonts w:hint="eastAsia" w:cs="仿宋"/>
                <w:color w:val="000000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胃病史</w:t>
            </w:r>
            <w:r>
              <w:rPr>
                <w:rFonts w:hint="eastAsia"/>
                <w:spacing w:val="-7"/>
                <w:sz w:val="24"/>
                <w:szCs w:val="24"/>
                <w:lang w:eastAsia="zh-CN"/>
              </w:rPr>
              <w:t>□</w:t>
            </w:r>
            <w:r>
              <w:rPr>
                <w:spacing w:val="-7"/>
                <w:sz w:val="24"/>
                <w:szCs w:val="24"/>
              </w:rPr>
              <w:t>无</w:t>
            </w:r>
            <w:r>
              <w:rPr>
                <w:rFonts w:hint="eastAsia"/>
                <w:spacing w:val="-7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spacing w:val="-13"/>
                <w:sz w:val="24"/>
                <w:szCs w:val="24"/>
              </w:rPr>
              <w:t>□有</w:t>
            </w:r>
          </w:p>
        </w:tc>
        <w:tc>
          <w:tcPr>
            <w:tcW w:w="2603" w:type="dxa"/>
            <w:gridSpan w:val="3"/>
            <w:vAlign w:val="top"/>
          </w:tcPr>
          <w:p w14:paraId="4632776A">
            <w:pPr>
              <w:pStyle w:val="13"/>
              <w:spacing w:before="175" w:line="371" w:lineRule="auto"/>
              <w:ind w:left="0" w:leftChars="0" w:right="95" w:rightChars="0" w:firstLine="0" w:firstLineChars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家族史□无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>□有</w:t>
            </w:r>
          </w:p>
          <w:p w14:paraId="51F5E5FE">
            <w:pPr>
              <w:rPr>
                <w:rFonts w:hint="eastAsia" w:cs="仿宋"/>
                <w:color w:val="00000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过敏史□无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>□有</w:t>
            </w:r>
          </w:p>
        </w:tc>
      </w:tr>
      <w:tr w14:paraId="55F68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001" w:hRule="atLeast"/>
        </w:trPr>
        <w:tc>
          <w:tcPr>
            <w:tcW w:w="1606" w:type="dxa"/>
            <w:vAlign w:val="center"/>
          </w:tcPr>
          <w:p w14:paraId="08867F29">
            <w:pPr>
              <w:spacing w:line="276" w:lineRule="auto"/>
              <w:ind w:firstLine="43" w:firstLineChars="18"/>
              <w:jc w:val="center"/>
              <w:rPr>
                <w:rFonts w:cs="仿宋"/>
                <w:color w:val="000000"/>
                <w:szCs w:val="24"/>
              </w:rPr>
            </w:pPr>
            <w:r>
              <w:t>SAE</w:t>
            </w:r>
            <w:r>
              <w:rPr>
                <w:spacing w:val="3"/>
              </w:rPr>
              <w:t>/</w:t>
            </w:r>
            <w:r>
              <w:t>SUSAR</w:t>
            </w:r>
            <w:r>
              <w:rPr>
                <w:spacing w:val="-12"/>
              </w:rPr>
              <w:t xml:space="preserve"> </w:t>
            </w:r>
            <w:r>
              <w:rPr>
                <w:spacing w:val="3"/>
              </w:rPr>
              <w:t>医学术语</w:t>
            </w:r>
            <w:r>
              <w:t xml:space="preserve"> </w:t>
            </w:r>
            <w:r>
              <w:rPr>
                <w:spacing w:val="-5"/>
              </w:rPr>
              <w:t>（诊断）</w:t>
            </w:r>
          </w:p>
        </w:tc>
        <w:tc>
          <w:tcPr>
            <w:tcW w:w="7750" w:type="dxa"/>
            <w:gridSpan w:val="13"/>
            <w:vAlign w:val="top"/>
          </w:tcPr>
          <w:p w14:paraId="0DFC6E93">
            <w:pPr>
              <w:pStyle w:val="13"/>
              <w:spacing w:before="175" w:line="371" w:lineRule="auto"/>
              <w:ind w:left="0" w:leftChars="0" w:right="95" w:rightChars="0" w:firstLine="0" w:firstLineChars="0"/>
              <w:rPr>
                <w:spacing w:val="-13"/>
                <w:sz w:val="24"/>
                <w:szCs w:val="24"/>
              </w:rPr>
            </w:pPr>
          </w:p>
        </w:tc>
      </w:tr>
      <w:tr w14:paraId="5C066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E5B7E">
            <w:pPr>
              <w:widowControl/>
              <w:autoSpaceDE/>
              <w:autoSpaceDN/>
              <w:spacing w:before="0" w:line="276" w:lineRule="auto"/>
              <w:ind w:firstLine="0" w:firstLineChars="0"/>
              <w:jc w:val="center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spacing w:val="-2"/>
              </w:rPr>
              <w:t>SAE/SUSAR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77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77DC5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 xml:space="preserve">□死亡  死亡日期  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u w:val="single"/>
                <w:lang w:val="en-US" w:bidi="ar-SA"/>
              </w:rPr>
              <w:t xml:space="preserve">   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>年</w:t>
            </w:r>
            <w:r>
              <w:rPr>
                <w:rFonts w:hint="eastAsia" w:ascii="Wingdings 2" w:hAnsi="Wingdings 2" w:eastAsia="宋体" w:cs="Calibri"/>
                <w:strike w:val="0"/>
                <w:color w:val="000000"/>
                <w:szCs w:val="24"/>
                <w:u w:val="single"/>
                <w:lang w:val="en-US" w:bidi="ar-SA"/>
              </w:rPr>
              <w:t xml:space="preserve">  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>月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u w:val="single"/>
                <w:lang w:val="en-US" w:bidi="ar-SA"/>
              </w:rPr>
              <w:t xml:space="preserve">  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>日</w:t>
            </w:r>
          </w:p>
          <w:p w14:paraId="38D72D90">
            <w:pPr>
              <w:widowControl/>
              <w:autoSpaceDE/>
              <w:autoSpaceDN/>
              <w:spacing w:before="0" w:line="276" w:lineRule="auto"/>
              <w:ind w:firstLine="480" w:firstLineChars="200"/>
              <w:jc w:val="left"/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>是否尸检 □否 □是（尸检结果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eastAsia="zh-CN" w:bidi="ar-SA"/>
              </w:rPr>
              <w:t>）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 xml:space="preserve">                           </w:t>
            </w:r>
          </w:p>
          <w:p w14:paraId="63A450EB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>□导致住院   □延长住院时间   □伤残   □功能障碍</w:t>
            </w:r>
          </w:p>
          <w:p w14:paraId="2DE4CB56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>□导致先天畸形   □危及生命   □其他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u w:val="single"/>
                <w:lang w:val="en-US" w:bidi="ar-SA"/>
              </w:rPr>
              <w:t xml:space="preserve">        </w:t>
            </w:r>
            <w:r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  <w:t xml:space="preserve">            </w:t>
            </w:r>
          </w:p>
        </w:tc>
      </w:tr>
      <w:tr w14:paraId="089FC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312FF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</w:pPr>
            <w:r>
              <w:rPr>
                <w:spacing w:val="-1"/>
              </w:rPr>
              <w:t>严重不良事件发生时间：    年   月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日</w:t>
            </w:r>
          </w:p>
        </w:tc>
        <w:tc>
          <w:tcPr>
            <w:tcW w:w="46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7EEF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hint="eastAsia" w:ascii="Wingdings 2" w:hAnsi="Wingdings 2" w:eastAsia="宋体" w:cs="Calibri"/>
                <w:color w:val="000000"/>
                <w:szCs w:val="24"/>
                <w:lang w:val="en-US" w:bidi="ar-SA"/>
              </w:rPr>
            </w:pPr>
            <w:r>
              <w:rPr>
                <w:spacing w:val="-1"/>
              </w:rPr>
              <w:t>研究者获知时间：       年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月</w:t>
            </w:r>
            <w:r>
              <w:rPr>
                <w:spacing w:val="5"/>
              </w:rPr>
              <w:t xml:space="preserve">   </w:t>
            </w:r>
            <w:r>
              <w:rPr>
                <w:spacing w:val="-1"/>
              </w:rPr>
              <w:t>日</w:t>
            </w:r>
          </w:p>
        </w:tc>
      </w:tr>
      <w:tr w14:paraId="1670F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6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94C2D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spacing w:val="-1"/>
              </w:rPr>
            </w:pPr>
            <w:r>
              <w:rPr>
                <w:spacing w:val="-2"/>
              </w:rPr>
              <w:t>与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SAE/SUSAR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相关实验室检查项</w:t>
            </w:r>
          </w:p>
        </w:tc>
        <w:tc>
          <w:tcPr>
            <w:tcW w:w="46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4C6CD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spacing w:val="-1"/>
              </w:rPr>
            </w:pPr>
            <w:r>
              <w:rPr>
                <w:spacing w:val="-9"/>
              </w:rPr>
              <w:t>□不详</w:t>
            </w:r>
            <w:r>
              <w:rPr>
                <w:spacing w:val="9"/>
              </w:rPr>
              <w:t xml:space="preserve">   </w:t>
            </w:r>
            <w:r>
              <w:rPr>
                <w:spacing w:val="-9"/>
              </w:rPr>
              <w:t>□无</w:t>
            </w:r>
            <w:r>
              <w:rPr>
                <w:spacing w:val="6"/>
              </w:rPr>
              <w:t xml:space="preserve">    </w:t>
            </w:r>
            <w:r>
              <w:rPr>
                <w:spacing w:val="-9"/>
              </w:rPr>
              <w:t>□见下表</w:t>
            </w:r>
          </w:p>
        </w:tc>
      </w:tr>
      <w:tr w14:paraId="32B48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A66B1">
            <w:pPr>
              <w:widowControl/>
              <w:autoSpaceDE/>
              <w:autoSpaceDN/>
              <w:spacing w:before="0" w:line="276" w:lineRule="auto"/>
              <w:ind w:firstLine="0" w:firstLineChars="0"/>
              <w:jc w:val="center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spacing w:val="-2"/>
              </w:rPr>
              <w:t>检查名称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469A">
            <w:pPr>
              <w:pStyle w:val="13"/>
              <w:spacing w:before="197" w:line="219" w:lineRule="auto"/>
              <w:ind w:left="0" w:leftChars="0"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bidi="ar-SA"/>
              </w:rPr>
            </w:pPr>
            <w:r>
              <w:rPr>
                <w:spacing w:val="-2"/>
                <w:sz w:val="24"/>
                <w:szCs w:val="24"/>
              </w:rPr>
              <w:t>检查日期</w:t>
            </w:r>
          </w:p>
        </w:tc>
        <w:tc>
          <w:tcPr>
            <w:tcW w:w="1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03DD">
            <w:pPr>
              <w:pStyle w:val="13"/>
              <w:spacing w:before="197" w:line="219" w:lineRule="auto"/>
              <w:ind w:left="0" w:leftChars="0"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bidi="ar-SA"/>
              </w:rPr>
            </w:pPr>
            <w:r>
              <w:rPr>
                <w:spacing w:val="-2"/>
                <w:sz w:val="24"/>
                <w:szCs w:val="24"/>
              </w:rPr>
              <w:t>检查结果</w:t>
            </w: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8907A">
            <w:pPr>
              <w:pStyle w:val="13"/>
              <w:spacing w:before="197" w:line="219" w:lineRule="auto"/>
              <w:ind w:left="0" w:leftChars="0"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bidi="ar-SA"/>
              </w:rPr>
            </w:pPr>
            <w:r>
              <w:rPr>
                <w:spacing w:val="-3"/>
                <w:sz w:val="24"/>
                <w:szCs w:val="24"/>
              </w:rPr>
              <w:t>正常值上限</w:t>
            </w:r>
          </w:p>
        </w:tc>
        <w:tc>
          <w:tcPr>
            <w:tcW w:w="1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5FC6D">
            <w:pPr>
              <w:pStyle w:val="13"/>
              <w:spacing w:before="197" w:line="219" w:lineRule="auto"/>
              <w:ind w:left="0" w:leftChars="0"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bidi="ar-SA"/>
              </w:rPr>
            </w:pPr>
            <w:r>
              <w:rPr>
                <w:spacing w:val="-3"/>
                <w:sz w:val="24"/>
                <w:szCs w:val="24"/>
              </w:rPr>
              <w:t>正常值下限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CA8E">
            <w:pPr>
              <w:pStyle w:val="13"/>
              <w:spacing w:before="197" w:line="221" w:lineRule="auto"/>
              <w:ind w:left="0" w:leftChars="0" w:firstLine="0" w:firstLineChars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bidi="ar-SA"/>
              </w:rPr>
            </w:pPr>
            <w:r>
              <w:rPr>
                <w:spacing w:val="-5"/>
                <w:sz w:val="24"/>
                <w:szCs w:val="24"/>
              </w:rPr>
              <w:t>备注</w:t>
            </w:r>
          </w:p>
        </w:tc>
      </w:tr>
      <w:tr w14:paraId="15FAD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76AEB5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spacing w:val="-2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515C35C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Times New Roman" w:hAnsi="Times New Roman" w:eastAsia="Times New Roman" w:cs="Times New Roman"/>
                <w:szCs w:val="24"/>
                <w:lang w:val="en-US" w:bidi="ar-SA"/>
              </w:rPr>
            </w:pPr>
          </w:p>
        </w:tc>
        <w:tc>
          <w:tcPr>
            <w:tcW w:w="1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39D6CEA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Times New Roman" w:hAnsi="Times New Roman" w:eastAsia="Times New Roman" w:cs="Times New Roman"/>
                <w:szCs w:val="24"/>
                <w:lang w:val="en-US" w:bidi="ar-SA"/>
              </w:rPr>
            </w:pPr>
          </w:p>
        </w:tc>
        <w:tc>
          <w:tcPr>
            <w:tcW w:w="15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E98F37E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Times New Roman" w:hAnsi="Times New Roman" w:eastAsia="Times New Roman" w:cs="Times New Roman"/>
                <w:szCs w:val="24"/>
                <w:lang w:val="en-US" w:bidi="ar-SA"/>
              </w:rPr>
            </w:pPr>
          </w:p>
        </w:tc>
        <w:tc>
          <w:tcPr>
            <w:tcW w:w="1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6817BDC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Times New Roman" w:hAnsi="Times New Roman" w:eastAsia="Times New Roman" w:cs="Times New Roman"/>
                <w:szCs w:val="24"/>
                <w:lang w:val="en-US" w:bidi="ar-SA"/>
              </w:rPr>
            </w:pP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2CBAFB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Times New Roman" w:hAnsi="Times New Roman" w:eastAsia="Times New Roman" w:cs="Times New Roman"/>
                <w:szCs w:val="24"/>
                <w:lang w:val="en-US" w:bidi="ar-SA"/>
              </w:rPr>
            </w:pPr>
          </w:p>
        </w:tc>
      </w:tr>
      <w:tr w14:paraId="04278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D52FE1">
            <w:pPr>
              <w:widowControl/>
              <w:autoSpaceDE/>
              <w:autoSpaceDN/>
              <w:spacing w:before="0" w:line="276" w:lineRule="auto"/>
              <w:ind w:firstLine="0" w:firstLineChars="0"/>
              <w:jc w:val="center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spacing w:val="10"/>
              </w:rPr>
              <w:t>对试验用药/器械等</w:t>
            </w:r>
            <w:r>
              <w:rPr>
                <w:spacing w:val="-1"/>
              </w:rPr>
              <w:t>干预采取的措施</w:t>
            </w:r>
          </w:p>
        </w:tc>
        <w:tc>
          <w:tcPr>
            <w:tcW w:w="77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75D6DA8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spacing w:val="9"/>
              </w:rPr>
            </w:pPr>
            <w:r>
              <w:rPr>
                <w:spacing w:val="-4"/>
              </w:rPr>
              <w:t>□继续使用   □减小剂量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□暂停后又恢复</w:t>
            </w:r>
            <w:r>
              <w:rPr>
                <w:spacing w:val="12"/>
              </w:rPr>
              <w:t xml:space="preserve">  </w:t>
            </w:r>
            <w:r>
              <w:rPr>
                <w:spacing w:val="-5"/>
              </w:rPr>
              <w:t>□停用</w:t>
            </w:r>
            <w:r>
              <w:rPr>
                <w:spacing w:val="8"/>
              </w:rPr>
              <w:t xml:space="preserve">   </w:t>
            </w:r>
            <w:r>
              <w:rPr>
                <w:spacing w:val="-5"/>
              </w:rPr>
              <w:t>□不详</w:t>
            </w:r>
            <w:r>
              <w:rPr>
                <w:spacing w:val="9"/>
              </w:rPr>
              <w:t xml:space="preserve">   </w:t>
            </w:r>
          </w:p>
          <w:p w14:paraId="54CCE103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spacing w:val="-5"/>
              </w:rPr>
              <w:t>□不适用</w:t>
            </w:r>
          </w:p>
        </w:tc>
      </w:tr>
      <w:tr w14:paraId="49C2C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70A1A7C"/>
          <w:p w14:paraId="1BDECE0E">
            <w:pPr>
              <w:pStyle w:val="13"/>
              <w:spacing w:before="58" w:line="219" w:lineRule="auto"/>
              <w:ind w:left="0" w:leftChars="0" w:firstLine="0" w:firstLineChars="0"/>
              <w:jc w:val="center"/>
              <w:rPr>
                <w:spacing w:val="-33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SAE/SUSAR</w:t>
            </w:r>
            <w:r>
              <w:rPr>
                <w:spacing w:val="-33"/>
                <w:sz w:val="24"/>
                <w:szCs w:val="24"/>
              </w:rPr>
              <w:t xml:space="preserve"> </w:t>
            </w:r>
          </w:p>
          <w:p w14:paraId="7A017101">
            <w:pPr>
              <w:pStyle w:val="13"/>
              <w:spacing w:before="58" w:line="219" w:lineRule="auto"/>
              <w:ind w:left="0" w:leftChars="0" w:firstLine="0" w:firstLineChars="0"/>
              <w:jc w:val="center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2"/>
                <w:sz w:val="24"/>
                <w:szCs w:val="24"/>
              </w:rPr>
              <w:t>转归</w:t>
            </w:r>
          </w:p>
        </w:tc>
        <w:tc>
          <w:tcPr>
            <w:tcW w:w="77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4D6C6C">
            <w:pPr>
              <w:pStyle w:val="13"/>
              <w:spacing w:before="226" w:line="219" w:lineRule="auto"/>
              <w:ind w:left="0" w:firstLine="0" w:firstLineChars="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□症状消失（后遗症：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□有   □无）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4"/>
                <w:sz w:val="24"/>
                <w:szCs w:val="24"/>
              </w:rPr>
              <w:t>□症状持续</w:t>
            </w:r>
          </w:p>
          <w:p w14:paraId="2F786D1F">
            <w:pPr>
              <w:pStyle w:val="13"/>
              <w:spacing w:before="254" w:line="219" w:lineRule="auto"/>
              <w:ind w:left="0" w:leftChars="0" w:firstLine="0" w:firstLineChars="0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4"/>
                <w:sz w:val="24"/>
                <w:szCs w:val="24"/>
              </w:rPr>
              <w:t>□死亡  死亡日期</w:t>
            </w:r>
            <w:r>
              <w:rPr>
                <w:spacing w:val="1"/>
                <w:sz w:val="24"/>
                <w:szCs w:val="24"/>
              </w:rPr>
              <w:t xml:space="preserve">        </w:t>
            </w:r>
            <w:r>
              <w:rPr>
                <w:spacing w:val="-4"/>
                <w:sz w:val="24"/>
                <w:szCs w:val="24"/>
              </w:rPr>
              <w:t>年</w:t>
            </w:r>
            <w:r>
              <w:rPr>
                <w:spacing w:val="2"/>
                <w:sz w:val="24"/>
                <w:szCs w:val="24"/>
              </w:rPr>
              <w:t xml:space="preserve">     </w:t>
            </w:r>
            <w:r>
              <w:rPr>
                <w:spacing w:val="-4"/>
                <w:sz w:val="24"/>
                <w:szCs w:val="24"/>
              </w:rPr>
              <w:t>月</w:t>
            </w:r>
            <w:r>
              <w:rPr>
                <w:spacing w:val="8"/>
                <w:sz w:val="24"/>
                <w:szCs w:val="24"/>
              </w:rPr>
              <w:t xml:space="preserve">     </w:t>
            </w:r>
            <w:r>
              <w:rPr>
                <w:spacing w:val="-4"/>
                <w:sz w:val="24"/>
                <w:szCs w:val="24"/>
              </w:rPr>
              <w:t>日</w:t>
            </w:r>
          </w:p>
        </w:tc>
      </w:tr>
      <w:tr w14:paraId="4BCC8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934293F">
            <w:pPr>
              <w:pStyle w:val="13"/>
              <w:spacing w:before="228" w:line="307" w:lineRule="auto"/>
              <w:ind w:left="0" w:leftChars="0" w:right="110" w:rightChars="0" w:firstLine="0" w:firstLineChars="0"/>
              <w:jc w:val="center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z w:val="24"/>
                <w:szCs w:val="24"/>
              </w:rPr>
              <w:t>SAE</w:t>
            </w:r>
            <w:r>
              <w:rPr>
                <w:spacing w:val="4"/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SUSAR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与研究的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关系</w:t>
            </w:r>
          </w:p>
        </w:tc>
        <w:tc>
          <w:tcPr>
            <w:tcW w:w="77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DDE496">
            <w:pPr>
              <w:spacing w:line="323" w:lineRule="auto"/>
              <w:rPr>
                <w:rFonts w:ascii="Arial"/>
                <w:sz w:val="24"/>
                <w:szCs w:val="24"/>
              </w:rPr>
            </w:pPr>
          </w:p>
          <w:p w14:paraId="627B0B50">
            <w:pPr>
              <w:pStyle w:val="13"/>
              <w:spacing w:before="59" w:line="220" w:lineRule="auto"/>
              <w:ind w:left="0" w:leftChars="0" w:firstLine="0" w:firstLineChars="0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4"/>
                <w:sz w:val="24"/>
                <w:szCs w:val="24"/>
              </w:rPr>
              <w:t>□肯定有关   □可能有关</w:t>
            </w:r>
            <w:r>
              <w:rPr>
                <w:spacing w:val="11"/>
                <w:sz w:val="24"/>
                <w:szCs w:val="24"/>
              </w:rPr>
              <w:t xml:space="preserve">   </w:t>
            </w:r>
            <w:r>
              <w:rPr>
                <w:spacing w:val="-4"/>
                <w:sz w:val="24"/>
                <w:szCs w:val="24"/>
              </w:rPr>
              <w:t>□可能无关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4"/>
                <w:sz w:val="24"/>
                <w:szCs w:val="24"/>
              </w:rPr>
              <w:t>□肯定无关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4"/>
                <w:sz w:val="24"/>
                <w:szCs w:val="24"/>
              </w:rPr>
              <w:t>□无法判定</w:t>
            </w:r>
          </w:p>
        </w:tc>
      </w:tr>
      <w:tr w14:paraId="1406C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149FEB6">
            <w:pPr>
              <w:pStyle w:val="13"/>
              <w:spacing w:before="232" w:line="219" w:lineRule="auto"/>
              <w:ind w:left="0" w:leftChars="0" w:firstLine="0" w:firstLineChars="0"/>
              <w:jc w:val="center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3"/>
                <w:sz w:val="24"/>
                <w:szCs w:val="24"/>
              </w:rPr>
              <w:t>SAE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预期判断</w:t>
            </w:r>
          </w:p>
        </w:tc>
        <w:tc>
          <w:tcPr>
            <w:tcW w:w="77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C46DB6">
            <w:pPr>
              <w:pStyle w:val="13"/>
              <w:spacing w:before="232" w:line="220" w:lineRule="auto"/>
              <w:ind w:left="0" w:leftChars="0" w:firstLine="0" w:firstLineChars="0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8"/>
                <w:sz w:val="24"/>
                <w:szCs w:val="24"/>
              </w:rPr>
              <w:t>□预期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8"/>
                <w:sz w:val="24"/>
                <w:szCs w:val="24"/>
              </w:rPr>
              <w:t>□非预期</w:t>
            </w:r>
          </w:p>
        </w:tc>
      </w:tr>
      <w:tr w14:paraId="31922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B4D0FA2">
            <w:pPr>
              <w:pStyle w:val="13"/>
              <w:spacing w:before="233" w:line="219" w:lineRule="auto"/>
              <w:ind w:left="0" w:leftChars="0" w:firstLine="0" w:firstLineChars="0"/>
              <w:jc w:val="center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2"/>
                <w:sz w:val="24"/>
                <w:szCs w:val="24"/>
              </w:rPr>
              <w:t>SAE/SUSAR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报道情况</w:t>
            </w:r>
          </w:p>
        </w:tc>
        <w:tc>
          <w:tcPr>
            <w:tcW w:w="77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846521">
            <w:pPr>
              <w:pStyle w:val="13"/>
              <w:spacing w:before="233" w:line="219" w:lineRule="auto"/>
              <w:ind w:left="0" w:leftChars="0" w:firstLine="0" w:firstLineChars="0"/>
              <w:rPr>
                <w:rFonts w:ascii="Calibri" w:hAnsi="Calibri" w:eastAsia="宋体" w:cs="Calibri"/>
                <w:color w:val="000000"/>
                <w:sz w:val="24"/>
                <w:szCs w:val="24"/>
                <w:lang w:val="en-US" w:bidi="ar-SA"/>
              </w:rPr>
            </w:pPr>
            <w:r>
              <w:rPr>
                <w:spacing w:val="-11"/>
                <w:sz w:val="24"/>
                <w:szCs w:val="24"/>
              </w:rPr>
              <w:t>国内：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□有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1"/>
                <w:sz w:val="24"/>
                <w:szCs w:val="24"/>
              </w:rPr>
              <w:t>□无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11"/>
                <w:sz w:val="24"/>
                <w:szCs w:val="24"/>
              </w:rPr>
              <w:t>□不详</w:t>
            </w:r>
            <w:r>
              <w:rPr>
                <w:spacing w:val="3"/>
                <w:sz w:val="24"/>
                <w:szCs w:val="24"/>
              </w:rPr>
              <w:t xml:space="preserve">        </w:t>
            </w:r>
            <w:r>
              <w:rPr>
                <w:spacing w:val="-11"/>
                <w:sz w:val="24"/>
                <w:szCs w:val="24"/>
              </w:rPr>
              <w:t>国外：</w:t>
            </w:r>
            <w:r>
              <w:rPr>
                <w:spacing w:val="-64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□有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1"/>
                <w:sz w:val="24"/>
                <w:szCs w:val="24"/>
              </w:rPr>
              <w:t>□无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11"/>
                <w:sz w:val="24"/>
                <w:szCs w:val="24"/>
              </w:rPr>
              <w:t>□不详</w:t>
            </w:r>
          </w:p>
        </w:tc>
      </w:tr>
      <w:tr w14:paraId="5037A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35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38352A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  <w:t>SAE/SUSAR 发生及处理的详细情况：</w:t>
            </w:r>
          </w:p>
          <w:p w14:paraId="1C9C8F86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highlight w:val="lightGray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Cs w:val="24"/>
                <w:highlight w:val="lightGray"/>
                <w:lang w:val="en-US" w:bidi="ar-SA"/>
              </w:rPr>
              <w:t>（“首次报告 ”应包含但不限于以下信息：）</w:t>
            </w:r>
          </w:p>
          <w:p w14:paraId="10B52BE7">
            <w:pPr>
              <w:widowControl/>
              <w:numPr>
                <w:ilvl w:val="0"/>
                <w:numId w:val="1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患者入组编号、入组时间和入组临床试验名称（编号）、患者疾病诊断和既往重要病史或合并疾病</w:t>
            </w:r>
          </w:p>
          <w:p w14:paraId="469CF17A">
            <w:pPr>
              <w:widowControl/>
              <w:numPr>
                <w:ilvl w:val="0"/>
                <w:numId w:val="1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入组后已完成的疗程和发生 SAE/SUSAR 前的末次干预事件</w:t>
            </w:r>
          </w:p>
          <w:p w14:paraId="5ED2BC62">
            <w:pPr>
              <w:widowControl/>
              <w:numPr>
                <w:ilvl w:val="0"/>
                <w:numId w:val="1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发生 SAE/SUSAR 前的相关症状、体征、程度分级、所做的相关检查和治疗的情况</w:t>
            </w:r>
          </w:p>
          <w:p w14:paraId="541C2472">
            <w:pPr>
              <w:widowControl/>
              <w:numPr>
                <w:ilvl w:val="0"/>
                <w:numId w:val="1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确认为严重不良事件后的详细救治过程，有助于证实 SAE/SUSAR 严重性的检查结果等</w:t>
            </w:r>
          </w:p>
          <w:p w14:paraId="5D7401F7">
            <w:pPr>
              <w:widowControl/>
              <w:numPr>
                <w:ilvl w:val="0"/>
                <w:numId w:val="1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研究者判断该 SAE/SUSAR 与研究的相关性</w:t>
            </w:r>
          </w:p>
          <w:p w14:paraId="1BF1874C">
            <w:pPr>
              <w:widowControl/>
              <w:numPr>
                <w:ilvl w:val="0"/>
                <w:numId w:val="1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其他</w:t>
            </w:r>
          </w:p>
          <w:p w14:paraId="5D26FDCB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highlight w:val="lightGray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Cs w:val="24"/>
                <w:highlight w:val="lightGray"/>
                <w:lang w:val="en-US" w:bidi="ar-SA"/>
              </w:rPr>
              <w:t>（“随访或总结报告 ”应包含但不限于以下信息：）</w:t>
            </w:r>
          </w:p>
          <w:p w14:paraId="3A37A3D1">
            <w:pPr>
              <w:widowControl/>
              <w:numPr>
                <w:ilvl w:val="0"/>
                <w:numId w:val="2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患者入组编号、入组时间和入组临床试验名称、患者疾病诊断</w:t>
            </w:r>
          </w:p>
          <w:p w14:paraId="6D5871E1">
            <w:pPr>
              <w:widowControl/>
              <w:numPr>
                <w:ilvl w:val="0"/>
                <w:numId w:val="2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自首次报告后，该 SAE/SUSAR 发生的转归、治疗及相关检查情况</w:t>
            </w:r>
          </w:p>
          <w:p w14:paraId="69D2D965">
            <w:pPr>
              <w:widowControl/>
              <w:numPr>
                <w:ilvl w:val="0"/>
                <w:numId w:val="2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再次评价该 SAE/SUSAR 与研究的相关性</w:t>
            </w:r>
          </w:p>
          <w:p w14:paraId="005E4416">
            <w:pPr>
              <w:widowControl/>
              <w:numPr>
                <w:ilvl w:val="0"/>
                <w:numId w:val="2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明确是否恢复治疗或退出试验</w:t>
            </w:r>
          </w:p>
          <w:p w14:paraId="6BAD5815">
            <w:pPr>
              <w:widowControl/>
              <w:numPr>
                <w:ilvl w:val="0"/>
                <w:numId w:val="2"/>
              </w:numPr>
              <w:autoSpaceDE/>
              <w:autoSpaceDN/>
              <w:spacing w:before="0" w:line="276" w:lineRule="auto"/>
              <w:ind w:left="425" w:hanging="425" w:firstLineChars="0"/>
              <w:jc w:val="left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val="en-US" w:bidi="ar-SA"/>
              </w:rPr>
              <w:t>其他</w:t>
            </w:r>
          </w:p>
        </w:tc>
      </w:tr>
      <w:tr w14:paraId="653F1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935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944F7C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  <w:t xml:space="preserve">报告单位名称：                        报告人职务/职称：             </w:t>
            </w:r>
            <w:r>
              <w:rPr>
                <w:rFonts w:hint="eastAsia" w:ascii="Calibri" w:hAnsi="Calibri" w:eastAsia="宋体" w:cs="Calibri"/>
                <w:color w:val="000000"/>
                <w:szCs w:val="24"/>
                <w:lang w:val="en-US" w:eastAsia="zh-CN" w:bidi="ar-SA"/>
              </w:rPr>
              <w:t xml:space="preserve">     </w:t>
            </w:r>
            <w:r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  <w:t>报告人签名：</w:t>
            </w:r>
          </w:p>
          <w:p w14:paraId="32883FD8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</w:p>
          <w:p w14:paraId="2877DC5E">
            <w:pPr>
              <w:widowControl/>
              <w:autoSpaceDE/>
              <w:autoSpaceDN/>
              <w:spacing w:before="0" w:line="276" w:lineRule="auto"/>
              <w:ind w:firstLine="0" w:firstLineChars="0"/>
              <w:jc w:val="left"/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</w:pPr>
            <w:r>
              <w:rPr>
                <w:rFonts w:ascii="Calibri" w:hAnsi="Calibri" w:eastAsia="宋体" w:cs="Calibri"/>
                <w:color w:val="000000"/>
                <w:szCs w:val="24"/>
                <w:lang w:val="en-US" w:bidi="ar-SA"/>
              </w:rPr>
              <w:t>（SAE/SUSAR报表应由项目的主要研究者签字，若主要研究者不在医疗机构，应电话告知并在报告中说明）</w:t>
            </w:r>
          </w:p>
        </w:tc>
      </w:tr>
    </w:tbl>
    <w:p w14:paraId="2BAD6E74">
      <w:pPr>
        <w:spacing w:line="276" w:lineRule="auto"/>
        <w:ind w:firstLine="480"/>
        <w:rPr>
          <w:szCs w:val="24"/>
          <w:lang w:val="en-US"/>
        </w:rPr>
      </w:pPr>
    </w:p>
    <w:p w14:paraId="30CCB453">
      <w:pPr>
        <w:spacing w:line="220" w:lineRule="atLeast"/>
        <w:ind w:firstLine="0" w:firstLineChars="0"/>
        <w:rPr>
          <w:rFonts w:asciiTheme="majorEastAsia" w:hAnsiTheme="majorEastAsia" w:cstheme="majorEastAsia"/>
          <w:i/>
          <w:szCs w:val="24"/>
          <w:lang w:val="en-US"/>
        </w:rPr>
      </w:pPr>
      <w:r>
        <w:rPr>
          <w:rFonts w:hint="eastAsia" w:asciiTheme="majorEastAsia" w:hAnsiTheme="majorEastAsia" w:cstheme="majorEastAsia"/>
          <w:i/>
          <w:szCs w:val="24"/>
        </w:rPr>
        <w:t>（</w:t>
      </w:r>
      <w:r>
        <w:rPr>
          <w:rFonts w:hint="eastAsia" w:asciiTheme="majorEastAsia" w:hAnsiTheme="majorEastAsia" w:cstheme="majorEastAsia"/>
          <w:i/>
          <w:szCs w:val="24"/>
          <w:lang w:val="en-US"/>
        </w:rPr>
        <w:t>删除本句）另附SAE/SUSAR原始报告复印件；死亡事件：尸检报告、最终医学报告、其他试验相关性证明文件。</w:t>
      </w:r>
    </w:p>
    <w:p w14:paraId="0E89576A">
      <w:pPr>
        <w:spacing w:line="276" w:lineRule="auto"/>
        <w:ind w:firstLine="480"/>
        <w:rPr>
          <w:szCs w:val="24"/>
        </w:rPr>
      </w:pPr>
    </w:p>
    <w:p w14:paraId="7BEE3634">
      <w:pPr>
        <w:spacing w:line="276" w:lineRule="auto"/>
        <w:ind w:firstLine="480"/>
        <w:rPr>
          <w:szCs w:val="24"/>
        </w:rPr>
      </w:pPr>
    </w:p>
    <w:p w14:paraId="2933B521">
      <w:pPr>
        <w:spacing w:line="276" w:lineRule="auto"/>
        <w:ind w:left="0" w:leftChars="0"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4A31B934">
    <w:pPr>
      <w:pStyle w:val="4"/>
      <w:ind w:left="0" w:leftChars="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F228C0"/>
    <w:multiLevelType w:val="singleLevel"/>
    <w:tmpl w:val="8AF228C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D65D635"/>
    <w:multiLevelType w:val="singleLevel"/>
    <w:tmpl w:val="AD65D63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A786C"/>
    <w:rsid w:val="00DB3418"/>
    <w:rsid w:val="1EE43A5E"/>
    <w:rsid w:val="24FA52BC"/>
    <w:rsid w:val="3B836C05"/>
    <w:rsid w:val="4A93440B"/>
    <w:rsid w:val="5A446997"/>
    <w:rsid w:val="5ACF35BC"/>
    <w:rsid w:val="774A786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1007</Words>
  <Characters>1223</Characters>
  <Lines>0</Lines>
  <Paragraphs>0</Paragraphs>
  <TotalTime>0</TotalTime>
  <ScaleCrop>false</ScaleCrop>
  <LinksUpToDate>false</LinksUpToDate>
  <CharactersWithSpaces>1547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2025-04-13T07:55:40Z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BA0401CB49B548188A47EC641701345D_11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