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p>
    <w:p>
      <w:pPr>
        <w:jc w:val="center"/>
        <w:rPr>
          <w:rFonts w:hint="eastAsia" w:ascii="微软雅黑" w:hAnsi="微软雅黑" w:eastAsia="微软雅黑" w:cs="微软雅黑"/>
          <w:b/>
          <w:bCs/>
          <w:sz w:val="28"/>
          <w:szCs w:val="28"/>
          <w:lang w:val="en-US" w:eastAsia="zh-CN"/>
        </w:rPr>
      </w:pPr>
      <w:r>
        <w:rPr>
          <w:rFonts w:hint="eastAsia" w:ascii="微软雅黑" w:hAnsi="微软雅黑" w:eastAsia="微软雅黑" w:cs="微软雅黑"/>
          <w:b/>
          <w:bCs/>
          <w:sz w:val="28"/>
          <w:szCs w:val="28"/>
          <w:lang w:eastAsia="zh-CN"/>
        </w:rPr>
        <w:t>药物临床试验</w:t>
      </w:r>
      <w:r>
        <w:rPr>
          <w:rFonts w:hint="eastAsia" w:ascii="微软雅黑" w:hAnsi="微软雅黑" w:eastAsia="微软雅黑" w:cs="微软雅黑"/>
          <w:b/>
          <w:bCs/>
          <w:sz w:val="28"/>
          <w:szCs w:val="28"/>
          <w:lang w:val="en-US" w:eastAsia="zh-CN"/>
        </w:rPr>
        <w:t>安全性事件上报流程说明</w:t>
      </w:r>
    </w:p>
    <w:p>
      <w:pPr>
        <w:keepNext w:val="0"/>
        <w:keepLines w:val="0"/>
        <w:pageBreakBefore w:val="0"/>
        <w:widowControl/>
        <w:suppressLineNumbers w:val="0"/>
        <w:kinsoku/>
        <w:wordWrap/>
        <w:overflowPunct/>
        <w:topLinePunct w:val="0"/>
        <w:autoSpaceDE/>
        <w:autoSpaceDN/>
        <w:bidi w:val="0"/>
        <w:adjustRightInd/>
        <w:snapToGrid/>
        <w:spacing w:line="480" w:lineRule="exact"/>
        <w:jc w:val="left"/>
        <w:textAlignment w:val="auto"/>
        <w:rPr>
          <w:rFonts w:hint="eastAsia" w:ascii="微软雅黑" w:hAnsi="微软雅黑" w:eastAsia="微软雅黑" w:cs="微软雅黑"/>
          <w:b/>
          <w:bCs/>
          <w:color w:val="000000"/>
          <w:kern w:val="0"/>
          <w:sz w:val="21"/>
          <w:szCs w:val="21"/>
          <w:lang w:val="en-US" w:eastAsia="zh-CN" w:bidi="ar"/>
        </w:rPr>
      </w:pPr>
      <w:r>
        <w:rPr>
          <w:rFonts w:hint="eastAsia" w:ascii="微软雅黑" w:hAnsi="微软雅黑" w:eastAsia="微软雅黑" w:cs="微软雅黑"/>
          <w:b/>
          <w:bCs/>
          <w:color w:val="000000"/>
          <w:kern w:val="0"/>
          <w:sz w:val="21"/>
          <w:szCs w:val="21"/>
          <w:lang w:val="en-US" w:eastAsia="zh-CN" w:bidi="ar"/>
        </w:rPr>
        <w:t>递交流程</w:t>
      </w:r>
    </w:p>
    <w:p>
      <w:pPr>
        <w:keepNext w:val="0"/>
        <w:keepLines w:val="0"/>
        <w:pageBreakBefore w:val="0"/>
        <w:widowControl/>
        <w:suppressLineNumbers w:val="0"/>
        <w:kinsoku/>
        <w:wordWrap/>
        <w:overflowPunct/>
        <w:topLinePunct w:val="0"/>
        <w:autoSpaceDE/>
        <w:autoSpaceDN/>
        <w:bidi w:val="0"/>
        <w:adjustRightInd/>
        <w:snapToGrid/>
        <w:spacing w:line="480" w:lineRule="exact"/>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b/>
          <w:bCs/>
          <w:color w:val="000000"/>
          <w:kern w:val="0"/>
          <w:sz w:val="21"/>
          <w:szCs w:val="21"/>
          <w:lang w:val="en-US" w:eastAsia="zh-CN" w:bidi="ar"/>
        </w:rPr>
        <w:t xml:space="preserve">1. 可疑且非预期严重不良反应（SUSAR） </w:t>
      </w:r>
      <w:bookmarkStart w:id="0" w:name="_GoBack"/>
      <w:bookmarkEnd w:id="0"/>
    </w:p>
    <w:p>
      <w:pPr>
        <w:keepNext w:val="0"/>
        <w:keepLines w:val="0"/>
        <w:pageBreakBefore w:val="0"/>
        <w:widowControl/>
        <w:suppressLineNumbers w:val="0"/>
        <w:kinsoku/>
        <w:wordWrap/>
        <w:overflowPunct/>
        <w:topLinePunct w:val="0"/>
        <w:autoSpaceDE/>
        <w:autoSpaceDN/>
        <w:bidi w:val="0"/>
        <w:adjustRightInd/>
        <w:snapToGrid/>
        <w:spacing w:line="480" w:lineRule="exact"/>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b/>
          <w:bCs/>
          <w:color w:val="000000"/>
          <w:kern w:val="0"/>
          <w:sz w:val="21"/>
          <w:szCs w:val="21"/>
          <w:lang w:val="en-US" w:eastAsia="zh-CN" w:bidi="ar"/>
        </w:rPr>
        <w:t xml:space="preserve">1.1. 分类 </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480" w:lineRule="exact"/>
        <w:ind w:left="420" w:leftChars="0" w:hanging="420" w:firstLineChars="0"/>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color w:val="000000"/>
          <w:kern w:val="0"/>
          <w:sz w:val="21"/>
          <w:szCs w:val="21"/>
          <w:lang w:val="en-US" w:eastAsia="zh-CN" w:bidi="ar"/>
        </w:rPr>
        <w:t xml:space="preserve">本中心发生 SUSAR </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480" w:lineRule="exact"/>
        <w:ind w:left="420" w:leftChars="0" w:hanging="420" w:firstLineChars="0"/>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color w:val="000000"/>
          <w:kern w:val="0"/>
          <w:sz w:val="21"/>
          <w:szCs w:val="21"/>
          <w:lang w:val="en-US" w:eastAsia="zh-CN" w:bidi="ar"/>
        </w:rPr>
        <w:t xml:space="preserve">外中心发生 SUSAR（本试验其他研究中心） </w:t>
      </w:r>
    </w:p>
    <w:p>
      <w:pPr>
        <w:keepNext w:val="0"/>
        <w:keepLines w:val="0"/>
        <w:pageBreakBefore w:val="0"/>
        <w:widowControl/>
        <w:suppressLineNumbers w:val="0"/>
        <w:kinsoku/>
        <w:wordWrap/>
        <w:overflowPunct/>
        <w:topLinePunct w:val="0"/>
        <w:autoSpaceDE/>
        <w:autoSpaceDN/>
        <w:bidi w:val="0"/>
        <w:adjustRightInd/>
        <w:snapToGrid/>
        <w:spacing w:line="480" w:lineRule="exact"/>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b/>
          <w:bCs/>
          <w:color w:val="000000"/>
          <w:kern w:val="0"/>
          <w:sz w:val="21"/>
          <w:szCs w:val="21"/>
          <w:lang w:val="en-US" w:eastAsia="zh-CN" w:bidi="ar"/>
        </w:rPr>
        <w:t xml:space="preserve">1.2. 递交上报方式 </w:t>
      </w:r>
    </w:p>
    <w:p>
      <w:pPr>
        <w:keepNext w:val="0"/>
        <w:keepLines w:val="0"/>
        <w:pageBreakBefore w:val="0"/>
        <w:widowControl/>
        <w:suppressLineNumbers w:val="0"/>
        <w:kinsoku/>
        <w:wordWrap/>
        <w:overflowPunct/>
        <w:topLinePunct w:val="0"/>
        <w:autoSpaceDE/>
        <w:autoSpaceDN/>
        <w:bidi w:val="0"/>
        <w:adjustRightInd/>
        <w:snapToGrid/>
        <w:spacing w:line="480" w:lineRule="exact"/>
        <w:ind w:firstLine="420" w:firstLineChars="200"/>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color w:val="000000"/>
          <w:kern w:val="0"/>
          <w:sz w:val="21"/>
          <w:szCs w:val="21"/>
          <w:lang w:val="en-US" w:eastAsia="zh-CN" w:bidi="ar"/>
        </w:rPr>
        <w:t xml:space="preserve">建议由申办者递交，递交信须有申办者授权递交人及研究者签字。 </w:t>
      </w:r>
    </w:p>
    <w:p>
      <w:pPr>
        <w:keepNext w:val="0"/>
        <w:keepLines w:val="0"/>
        <w:pageBreakBefore w:val="0"/>
        <w:widowControl/>
        <w:suppressLineNumbers w:val="0"/>
        <w:kinsoku/>
        <w:wordWrap/>
        <w:overflowPunct/>
        <w:topLinePunct w:val="0"/>
        <w:autoSpaceDE/>
        <w:autoSpaceDN/>
        <w:bidi w:val="0"/>
        <w:adjustRightInd/>
        <w:snapToGrid/>
        <w:spacing w:line="480" w:lineRule="exact"/>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b/>
          <w:bCs/>
          <w:color w:val="000000"/>
          <w:kern w:val="0"/>
          <w:sz w:val="21"/>
          <w:szCs w:val="21"/>
          <w:lang w:val="en-US" w:eastAsia="zh-CN" w:bidi="ar"/>
        </w:rPr>
        <w:t xml:space="preserve">1.3. 报告时限 </w:t>
      </w:r>
    </w:p>
    <w:p>
      <w:pPr>
        <w:keepNext w:val="0"/>
        <w:keepLines w:val="0"/>
        <w:pageBreakBefore w:val="0"/>
        <w:widowControl/>
        <w:suppressLineNumbers w:val="0"/>
        <w:kinsoku/>
        <w:wordWrap/>
        <w:overflowPunct/>
        <w:topLinePunct w:val="0"/>
        <w:autoSpaceDE/>
        <w:autoSpaceDN/>
        <w:bidi w:val="0"/>
        <w:adjustRightInd/>
        <w:snapToGrid/>
        <w:spacing w:line="480" w:lineRule="exact"/>
        <w:ind w:firstLine="420" w:firstLineChars="200"/>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color w:val="000000"/>
          <w:kern w:val="0"/>
          <w:sz w:val="21"/>
          <w:szCs w:val="21"/>
          <w:lang w:val="en-US" w:eastAsia="zh-CN" w:bidi="ar"/>
        </w:rPr>
        <w:t xml:space="preserve">SUSAR 报告遵循7天和15天的快速报告要求 </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480" w:lineRule="exact"/>
        <w:ind w:left="420" w:leftChars="0" w:hanging="420" w:firstLineChars="0"/>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color w:val="000000"/>
          <w:kern w:val="0"/>
          <w:sz w:val="21"/>
          <w:szCs w:val="21"/>
          <w:lang w:val="en-US" w:eastAsia="zh-CN" w:bidi="ar"/>
        </w:rPr>
        <w:t xml:space="preserve">致死或危及生命的非预期严重不良反应：申办者应在首次获知日（获知当天为第0天）后尽快（7天内）报告，并在随后的8天内报告、完善随访信息。 </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480" w:lineRule="exact"/>
        <w:ind w:left="420" w:leftChars="0" w:hanging="420" w:firstLineChars="0"/>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color w:val="000000"/>
          <w:kern w:val="0"/>
          <w:sz w:val="21"/>
          <w:szCs w:val="21"/>
          <w:lang w:val="en-US" w:eastAsia="zh-CN" w:bidi="ar"/>
        </w:rPr>
        <w:t xml:space="preserve">非致死或危及生命的非预期严重不良反应：申办者应在首次获知后尽快（15天内）报告。 </w:t>
      </w:r>
    </w:p>
    <w:p>
      <w:pPr>
        <w:keepNext w:val="0"/>
        <w:keepLines w:val="0"/>
        <w:pageBreakBefore w:val="0"/>
        <w:widowControl/>
        <w:suppressLineNumbers w:val="0"/>
        <w:kinsoku/>
        <w:wordWrap/>
        <w:overflowPunct/>
        <w:topLinePunct w:val="0"/>
        <w:autoSpaceDE/>
        <w:autoSpaceDN/>
        <w:bidi w:val="0"/>
        <w:adjustRightInd/>
        <w:snapToGrid/>
        <w:spacing w:line="480" w:lineRule="exact"/>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b/>
          <w:bCs/>
          <w:color w:val="000000"/>
          <w:kern w:val="0"/>
          <w:sz w:val="21"/>
          <w:szCs w:val="21"/>
          <w:lang w:val="en-US" w:eastAsia="zh-CN" w:bidi="ar"/>
        </w:rPr>
        <w:t xml:space="preserve">1.4. 递交报告内容 </w:t>
      </w:r>
    </w:p>
    <w:p>
      <w:pPr>
        <w:keepNext w:val="0"/>
        <w:keepLines w:val="0"/>
        <w:pageBreakBefore w:val="0"/>
        <w:widowControl/>
        <w:suppressLineNumbers w:val="0"/>
        <w:kinsoku/>
        <w:wordWrap/>
        <w:overflowPunct/>
        <w:topLinePunct w:val="0"/>
        <w:autoSpaceDE/>
        <w:autoSpaceDN/>
        <w:bidi w:val="0"/>
        <w:adjustRightInd/>
        <w:snapToGrid/>
        <w:spacing w:line="480" w:lineRule="exact"/>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color w:val="000000"/>
          <w:kern w:val="0"/>
          <w:sz w:val="21"/>
          <w:szCs w:val="21"/>
          <w:lang w:val="en-US" w:eastAsia="zh-CN" w:bidi="ar"/>
        </w:rPr>
        <w:t>递交机构文件</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480" w:lineRule="exact"/>
        <w:ind w:left="420" w:leftChars="0" w:hanging="420" w:firstLineChars="0"/>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color w:val="000000"/>
          <w:kern w:val="0"/>
          <w:sz w:val="21"/>
          <w:szCs w:val="21"/>
          <w:lang w:val="en-US" w:eastAsia="zh-CN" w:bidi="ar"/>
        </w:rPr>
        <w:t xml:space="preserve">SUSAR报告（纸版和电子版同时递交） </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480" w:lineRule="exact"/>
        <w:ind w:left="420" w:leftChars="0" w:hanging="420" w:firstLineChars="0"/>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color w:val="000000"/>
          <w:kern w:val="0"/>
          <w:sz w:val="21"/>
          <w:szCs w:val="21"/>
          <w:lang w:val="en-US" w:eastAsia="zh-CN" w:bidi="ar"/>
        </w:rPr>
        <w:t>报告机构的递交信</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480" w:lineRule="exact"/>
        <w:ind w:left="420" w:leftChars="0" w:hanging="420" w:firstLineChars="0"/>
        <w:jc w:val="both"/>
        <w:textAlignment w:val="auto"/>
        <w:rPr>
          <w:rFonts w:hint="eastAsia" w:ascii="微软雅黑" w:hAnsi="微软雅黑" w:eastAsia="微软雅黑" w:cs="微软雅黑"/>
          <w:sz w:val="21"/>
          <w:szCs w:val="21"/>
        </w:rPr>
      </w:pPr>
      <w:r>
        <w:rPr>
          <w:rFonts w:hint="eastAsia" w:ascii="微软雅黑" w:hAnsi="微软雅黑" w:eastAsia="微软雅黑" w:cs="微软雅黑"/>
          <w:color w:val="000000"/>
          <w:kern w:val="0"/>
          <w:sz w:val="21"/>
          <w:szCs w:val="21"/>
          <w:lang w:val="en-US" w:eastAsia="zh-CN" w:bidi="ar"/>
        </w:rPr>
        <w:t xml:space="preserve">申办者递交研究者及伦理委员会的签收回执（报告材料需符合法规要求） </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480" w:lineRule="exact"/>
        <w:ind w:left="420" w:leftChars="0" w:hanging="420" w:firstLineChars="0"/>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color w:val="000000"/>
          <w:kern w:val="0"/>
          <w:sz w:val="21"/>
          <w:szCs w:val="21"/>
          <w:lang w:val="en-US" w:eastAsia="zh-CN" w:bidi="ar"/>
        </w:rPr>
        <w:t xml:space="preserve">如本院发生SUSAR，还应同时递交本院研究者向申办者报告的SAE报告表 </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480" w:lineRule="exact"/>
        <w:ind w:left="420" w:leftChars="0" w:hanging="420" w:firstLineChars="0"/>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color w:val="000000"/>
          <w:kern w:val="0"/>
          <w:sz w:val="21"/>
          <w:szCs w:val="21"/>
          <w:lang w:val="en-US" w:eastAsia="zh-CN" w:bidi="ar"/>
        </w:rPr>
        <w:t xml:space="preserve">每6个月须集中递交一次 SUSAR 汇总信息（纸版及电子版同时递交） </w:t>
      </w:r>
    </w:p>
    <w:p>
      <w:pPr>
        <w:keepNext w:val="0"/>
        <w:keepLines w:val="0"/>
        <w:pageBreakBefore w:val="0"/>
        <w:widowControl/>
        <w:suppressLineNumbers w:val="0"/>
        <w:kinsoku/>
        <w:wordWrap/>
        <w:overflowPunct/>
        <w:topLinePunct w:val="0"/>
        <w:autoSpaceDE/>
        <w:autoSpaceDN/>
        <w:bidi w:val="0"/>
        <w:adjustRightInd/>
        <w:snapToGrid/>
        <w:spacing w:line="480" w:lineRule="exact"/>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b/>
          <w:bCs/>
          <w:color w:val="000000"/>
          <w:kern w:val="0"/>
          <w:sz w:val="21"/>
          <w:szCs w:val="21"/>
          <w:lang w:val="en-US" w:eastAsia="zh-CN" w:bidi="ar"/>
        </w:rPr>
        <w:t xml:space="preserve">2. 研发期间安全性更新报告（DSUR） </w:t>
      </w:r>
    </w:p>
    <w:p>
      <w:pPr>
        <w:keepNext w:val="0"/>
        <w:keepLines w:val="0"/>
        <w:pageBreakBefore w:val="0"/>
        <w:widowControl/>
        <w:suppressLineNumbers w:val="0"/>
        <w:kinsoku/>
        <w:wordWrap/>
        <w:overflowPunct/>
        <w:topLinePunct w:val="0"/>
        <w:autoSpaceDE/>
        <w:autoSpaceDN/>
        <w:bidi w:val="0"/>
        <w:adjustRightInd/>
        <w:snapToGrid/>
        <w:spacing w:line="480" w:lineRule="exact"/>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color w:val="000000"/>
          <w:kern w:val="0"/>
          <w:sz w:val="21"/>
          <w:szCs w:val="21"/>
          <w:lang w:val="en-US" w:eastAsia="zh-CN" w:bidi="ar"/>
        </w:rPr>
        <w:t>递交机构文件</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480" w:lineRule="exact"/>
        <w:ind w:left="420" w:leftChars="0" w:hanging="420" w:firstLineChars="0"/>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color w:val="000000"/>
          <w:kern w:val="0"/>
          <w:sz w:val="21"/>
          <w:szCs w:val="21"/>
          <w:lang w:val="en-US" w:eastAsia="zh-CN" w:bidi="ar"/>
        </w:rPr>
        <w:t xml:space="preserve">DSUR报告（纸版和电子版同时递交） </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480" w:lineRule="exact"/>
        <w:ind w:left="420" w:leftChars="0" w:hanging="420" w:firstLineChars="0"/>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color w:val="000000"/>
          <w:kern w:val="0"/>
          <w:sz w:val="21"/>
          <w:szCs w:val="21"/>
          <w:lang w:val="en-US" w:eastAsia="zh-CN" w:bidi="ar"/>
        </w:rPr>
        <w:t>报告机构的递交信</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480" w:lineRule="exact"/>
        <w:ind w:left="420" w:leftChars="0" w:hanging="420" w:firstLineChars="0"/>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color w:val="000000"/>
          <w:kern w:val="0"/>
          <w:sz w:val="21"/>
          <w:szCs w:val="21"/>
          <w:lang w:val="en-US" w:eastAsia="zh-CN" w:bidi="ar"/>
        </w:rPr>
        <w:t xml:space="preserve">申办者递交研究者及伦理委员会的签收回执 </w:t>
      </w:r>
    </w:p>
    <w:p>
      <w:pPr>
        <w:keepNext w:val="0"/>
        <w:keepLines w:val="0"/>
        <w:pageBreakBefore w:val="0"/>
        <w:widowControl/>
        <w:suppressLineNumbers w:val="0"/>
        <w:kinsoku/>
        <w:wordWrap/>
        <w:overflowPunct/>
        <w:topLinePunct w:val="0"/>
        <w:autoSpaceDE/>
        <w:autoSpaceDN/>
        <w:bidi w:val="0"/>
        <w:adjustRightInd/>
        <w:snapToGrid/>
        <w:spacing w:line="480" w:lineRule="exact"/>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b/>
          <w:bCs/>
          <w:color w:val="7C2643"/>
          <w:kern w:val="0"/>
          <w:sz w:val="21"/>
          <w:szCs w:val="21"/>
          <w:lang w:val="en-US" w:eastAsia="zh-CN" w:bidi="ar"/>
        </w:rPr>
        <w:t xml:space="preserve">递交材料要求 </w:t>
      </w:r>
    </w:p>
    <w:p>
      <w:pPr>
        <w:keepNext w:val="0"/>
        <w:keepLines w:val="0"/>
        <w:pageBreakBefore w:val="0"/>
        <w:widowControl/>
        <w:suppressLineNumbers w:val="0"/>
        <w:kinsoku/>
        <w:wordWrap/>
        <w:overflowPunct/>
        <w:topLinePunct w:val="0"/>
        <w:autoSpaceDE/>
        <w:autoSpaceDN/>
        <w:bidi w:val="0"/>
        <w:adjustRightInd/>
        <w:snapToGrid/>
        <w:spacing w:line="480" w:lineRule="exact"/>
        <w:jc w:val="left"/>
        <w:textAlignment w:val="auto"/>
        <w:rPr>
          <w:rFonts w:hint="default" w:ascii="微软雅黑" w:hAnsi="微软雅黑" w:eastAsia="微软雅黑" w:cs="微软雅黑"/>
          <w:sz w:val="21"/>
          <w:szCs w:val="21"/>
          <w:lang w:val="en-US"/>
        </w:rPr>
      </w:pPr>
      <w:r>
        <w:rPr>
          <w:rFonts w:hint="eastAsia" w:ascii="微软雅黑" w:hAnsi="微软雅黑" w:eastAsia="微软雅黑" w:cs="微软雅黑"/>
          <w:b/>
          <w:bCs/>
          <w:color w:val="000000"/>
          <w:kern w:val="0"/>
          <w:sz w:val="21"/>
          <w:szCs w:val="21"/>
          <w:lang w:val="en-US" w:eastAsia="zh-CN" w:bidi="ar"/>
        </w:rPr>
        <w:t xml:space="preserve">1. 电子版发送邮箱：机构邮箱 </w:t>
      </w:r>
      <w:r>
        <w:rPr>
          <w:rFonts w:hint="eastAsia" w:ascii="微软雅黑" w:hAnsi="微软雅黑" w:eastAsia="微软雅黑" w:cs="微软雅黑"/>
          <w:b/>
          <w:bCs/>
          <w:color w:val="7C2643"/>
          <w:kern w:val="0"/>
          <w:sz w:val="21"/>
          <w:szCs w:val="21"/>
          <w:lang w:val="en-US" w:eastAsia="zh-CN" w:bidi="ar"/>
        </w:rPr>
        <w:t>szfwyyjgb@163.com</w:t>
      </w:r>
    </w:p>
    <w:p>
      <w:pPr>
        <w:keepNext w:val="0"/>
        <w:keepLines w:val="0"/>
        <w:pageBreakBefore w:val="0"/>
        <w:widowControl/>
        <w:suppressLineNumbers w:val="0"/>
        <w:kinsoku/>
        <w:wordWrap/>
        <w:overflowPunct/>
        <w:topLinePunct w:val="0"/>
        <w:autoSpaceDE/>
        <w:autoSpaceDN/>
        <w:bidi w:val="0"/>
        <w:adjustRightInd/>
        <w:snapToGrid/>
        <w:spacing w:line="480" w:lineRule="exact"/>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b/>
          <w:bCs/>
          <w:color w:val="000000"/>
          <w:kern w:val="0"/>
          <w:sz w:val="21"/>
          <w:szCs w:val="21"/>
          <w:lang w:val="en-US" w:eastAsia="zh-CN" w:bidi="ar"/>
        </w:rPr>
        <w:t>邮件名称：</w:t>
      </w:r>
      <w:r>
        <w:rPr>
          <w:rFonts w:hint="eastAsia" w:ascii="微软雅黑" w:hAnsi="微软雅黑" w:eastAsia="微软雅黑" w:cs="微软雅黑"/>
          <w:color w:val="000000"/>
          <w:kern w:val="0"/>
          <w:sz w:val="21"/>
          <w:szCs w:val="21"/>
          <w:lang w:val="en-US" w:eastAsia="zh-CN" w:bidi="ar"/>
        </w:rPr>
        <w:t xml:space="preserve">药物试验-本院/外院 SUSAR(DSUR)-PI 名-申办方名称-项目简称 </w:t>
      </w:r>
    </w:p>
    <w:p>
      <w:pPr>
        <w:keepNext w:val="0"/>
        <w:keepLines w:val="0"/>
        <w:pageBreakBefore w:val="0"/>
        <w:widowControl/>
        <w:suppressLineNumbers w:val="0"/>
        <w:kinsoku/>
        <w:wordWrap/>
        <w:overflowPunct/>
        <w:topLinePunct w:val="0"/>
        <w:autoSpaceDE/>
        <w:autoSpaceDN/>
        <w:bidi w:val="0"/>
        <w:adjustRightInd/>
        <w:snapToGrid/>
        <w:spacing w:line="480" w:lineRule="exact"/>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b/>
          <w:bCs/>
          <w:color w:val="000000"/>
          <w:kern w:val="0"/>
          <w:sz w:val="21"/>
          <w:szCs w:val="21"/>
          <w:lang w:val="en-US" w:eastAsia="zh-CN" w:bidi="ar"/>
        </w:rPr>
        <w:t xml:space="preserve">2. SUSAR 报告： </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480" w:lineRule="exact"/>
        <w:ind w:left="420" w:leftChars="0" w:hanging="420" w:firstLineChars="0"/>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color w:val="000000"/>
          <w:kern w:val="0"/>
          <w:sz w:val="21"/>
          <w:szCs w:val="21"/>
          <w:lang w:val="en-US" w:eastAsia="zh-CN" w:bidi="ar"/>
        </w:rPr>
        <w:t xml:space="preserve">报告原则上应为简体中文。对于原始报告为英文的，可以第一时间递交英文版报告， 后续须补充英文配合中文共同报告并递交。 </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480" w:lineRule="exact"/>
        <w:ind w:left="420" w:leftChars="0" w:hanging="420" w:firstLineChars="0"/>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color w:val="000000"/>
          <w:kern w:val="0"/>
          <w:sz w:val="21"/>
          <w:szCs w:val="21"/>
          <w:lang w:val="en-US" w:eastAsia="zh-CN" w:bidi="ar"/>
        </w:rPr>
        <w:t xml:space="preserve">报告须有申办方报告人（责任人）签字或申办方盖章。 </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480" w:lineRule="exact"/>
        <w:ind w:left="420" w:leftChars="0" w:hanging="420" w:firstLineChars="0"/>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color w:val="000000"/>
          <w:kern w:val="0"/>
          <w:sz w:val="21"/>
          <w:szCs w:val="21"/>
          <w:lang w:val="en-US" w:eastAsia="zh-CN" w:bidi="ar"/>
        </w:rPr>
        <w:t xml:space="preserve">SUSAR报告的填写应采用标准化、结构化的信息，保证填写信息的完整，如SAE/SUSAR 报告表、国际医学科学组织理事会（CIOMS）表等。递交时应有结构化信息，以便于统计。 </w:t>
      </w:r>
    </w:p>
    <w:p>
      <w:pPr>
        <w:keepNext w:val="0"/>
        <w:keepLines w:val="0"/>
        <w:pageBreakBefore w:val="0"/>
        <w:widowControl/>
        <w:suppressLineNumbers w:val="0"/>
        <w:kinsoku/>
        <w:wordWrap/>
        <w:overflowPunct/>
        <w:topLinePunct w:val="0"/>
        <w:autoSpaceDE/>
        <w:autoSpaceDN/>
        <w:bidi w:val="0"/>
        <w:adjustRightInd/>
        <w:snapToGrid/>
        <w:spacing w:line="480" w:lineRule="exact"/>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b/>
          <w:bCs/>
          <w:color w:val="000000"/>
          <w:kern w:val="0"/>
          <w:sz w:val="21"/>
          <w:szCs w:val="21"/>
          <w:lang w:val="en-US" w:eastAsia="zh-CN" w:bidi="ar"/>
        </w:rPr>
        <w:t xml:space="preserve">3. SUSAR 汇总列表： </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480" w:lineRule="exact"/>
        <w:ind w:left="420" w:leftChars="0" w:hanging="420" w:firstLineChars="0"/>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color w:val="000000"/>
          <w:kern w:val="0"/>
          <w:sz w:val="21"/>
          <w:szCs w:val="21"/>
          <w:lang w:val="en-US" w:eastAsia="zh-CN" w:bidi="ar"/>
        </w:rPr>
        <w:t xml:space="preserve">原则上应为简体中文或中英文对照，应包含SUSAR的发生时间、诊断、对研究药物采取的措施、转归等内容。 </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480" w:lineRule="exact"/>
        <w:ind w:left="420" w:leftChars="0" w:hanging="420" w:firstLineChars="0"/>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color w:val="000000"/>
          <w:kern w:val="0"/>
          <w:sz w:val="21"/>
          <w:szCs w:val="21"/>
          <w:lang w:val="en-US" w:eastAsia="zh-CN" w:bidi="ar"/>
        </w:rPr>
        <w:t xml:space="preserve">SUSAR汇总列表内容应与 SUSAR 报告内容一致。 </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480" w:lineRule="exact"/>
        <w:ind w:left="420" w:leftChars="0" w:hanging="420" w:firstLineChars="0"/>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color w:val="000000"/>
          <w:kern w:val="0"/>
          <w:sz w:val="21"/>
          <w:szCs w:val="21"/>
          <w:lang w:val="en-US" w:eastAsia="zh-CN" w:bidi="ar"/>
        </w:rPr>
        <w:t xml:space="preserve">电子版和纸板同时递交，电子版汇总表须同时附相关 SUSAR 报告扫描件。 </w:t>
      </w:r>
    </w:p>
    <w:p>
      <w:pPr>
        <w:keepNext w:val="0"/>
        <w:keepLines w:val="0"/>
        <w:pageBreakBefore w:val="0"/>
        <w:widowControl/>
        <w:suppressLineNumbers w:val="0"/>
        <w:kinsoku/>
        <w:wordWrap/>
        <w:overflowPunct/>
        <w:topLinePunct w:val="0"/>
        <w:autoSpaceDE/>
        <w:autoSpaceDN/>
        <w:bidi w:val="0"/>
        <w:adjustRightInd/>
        <w:snapToGrid/>
        <w:spacing w:line="480" w:lineRule="exact"/>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b/>
          <w:bCs/>
          <w:color w:val="000000"/>
          <w:kern w:val="0"/>
          <w:sz w:val="21"/>
          <w:szCs w:val="21"/>
          <w:lang w:val="en-US" w:eastAsia="zh-CN" w:bidi="ar"/>
        </w:rPr>
        <w:t xml:space="preserve">4. DSUR 报告： </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480" w:lineRule="exact"/>
        <w:ind w:left="420" w:leftChars="0" w:hanging="420" w:firstLineChars="0"/>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color w:val="000000"/>
          <w:kern w:val="0"/>
          <w:sz w:val="21"/>
          <w:szCs w:val="21"/>
          <w:lang w:val="en-US" w:eastAsia="zh-CN" w:bidi="ar"/>
        </w:rPr>
        <w:t xml:space="preserve">应为申办者或已授权 CRO 盖章的原件。 </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480" w:lineRule="exact"/>
        <w:ind w:left="420" w:leftChars="0" w:hanging="420" w:firstLineChars="0"/>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color w:val="000000"/>
          <w:kern w:val="0"/>
          <w:sz w:val="21"/>
          <w:szCs w:val="21"/>
          <w:lang w:val="en-US" w:eastAsia="zh-CN" w:bidi="ar"/>
        </w:rPr>
        <w:t xml:space="preserve">应符合《研发期间安全性更新报告管理规范（试行）》要求。 </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480" w:lineRule="exact"/>
        <w:ind w:left="420" w:leftChars="0" w:hanging="420" w:firstLineChars="0"/>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color w:val="000000"/>
          <w:kern w:val="0"/>
          <w:sz w:val="21"/>
          <w:szCs w:val="21"/>
          <w:lang w:val="en-US" w:eastAsia="zh-CN" w:bidi="ar"/>
        </w:rPr>
        <w:t>应提供完整的研发期间安全性更新信息，对报告周期内收集到的与研究药物相关的安全性信息进行年度回顾和持续评估，如针对临床试验风险与获益的评估、定期分析结果报告、研究药物的安全性评估，针对安全性问题提出或采取的解决措施等内容。</w:t>
      </w:r>
    </w:p>
    <w:p>
      <w:pPr>
        <w:keepNext w:val="0"/>
        <w:keepLines w:val="0"/>
        <w:pageBreakBefore w:val="0"/>
        <w:kinsoku/>
        <w:wordWrap/>
        <w:overflowPunct/>
        <w:topLinePunct w:val="0"/>
        <w:autoSpaceDE/>
        <w:autoSpaceDN/>
        <w:bidi w:val="0"/>
        <w:adjustRightInd/>
        <w:snapToGrid/>
        <w:spacing w:line="480" w:lineRule="exact"/>
        <w:jc w:val="center"/>
        <w:textAlignment w:val="auto"/>
        <w:rPr>
          <w:rFonts w:hint="eastAsia" w:ascii="微软雅黑" w:hAnsi="微软雅黑" w:eastAsia="微软雅黑" w:cs="微软雅黑"/>
          <w:b/>
          <w:bCs/>
          <w:sz w:val="21"/>
          <w:szCs w:val="21"/>
          <w:lang w:val="en-US" w:eastAsia="zh-CN"/>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Microsoft YaHei UI">
    <w:panose1 w:val="020B0503020204020204"/>
    <w:charset w:val="86"/>
    <w:family w:val="auto"/>
    <w:pitch w:val="default"/>
    <w:sig w:usb0="80000287" w:usb1="28CF3C52" w:usb2="00000016" w:usb3="00000000" w:csb0="0004001F" w:csb1="00000000"/>
  </w:font>
  <w:font w:name="仿宋">
    <w:panose1 w:val="02010609060101010101"/>
    <w:charset w:val="86"/>
    <w:family w:val="auto"/>
    <w:pitch w:val="default"/>
    <w:sig w:usb0="800002BF" w:usb1="38CF7CFA" w:usb2="00000016" w:usb3="00000000" w:csb0="00040001" w:csb1="00000000"/>
  </w:font>
  <w:font w:name="Wingdings">
    <w:panose1 w:val="05000000000000000000"/>
    <w:charset w:val="00"/>
    <w:family w:val="auto"/>
    <w:pitch w:val="default"/>
    <w:sig w:usb0="00000000" w:usb1="00000000" w:usb2="00000000" w:usb3="00000000" w:csb0="80000000" w:csb1="00000000"/>
  </w:font>
  <w:font w:name="PMingLiU">
    <w:panose1 w:val="02020500000000000000"/>
    <w:charset w:val="88"/>
    <w:family w:val="auto"/>
    <w:pitch w:val="default"/>
    <w:sig w:usb0="A00002FF" w:usb1="28CFFCFA" w:usb2="00000016" w:usb3="00000000" w:csb0="001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drawing>
        <wp:inline distT="0" distB="0" distL="0" distR="0">
          <wp:extent cx="111125" cy="111125"/>
          <wp:effectExtent l="0" t="0" r="3175"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11125" cy="111125"/>
                  </a:xfrm>
                  <a:prstGeom prst="rect">
                    <a:avLst/>
                  </a:prstGeom>
                  <a:noFill/>
                  <a:ln>
                    <a:noFill/>
                  </a:ln>
                </pic:spPr>
              </pic:pic>
            </a:graphicData>
          </a:graphic>
        </wp:inline>
      </w:drawing>
    </w:r>
    <w:r>
      <w:rPr>
        <w:rFonts w:hint="eastAsia"/>
      </w:rPr>
      <w:t>中国医学科学院阜外医院深圳医院药物临床试验机构办公室制</w:t>
    </w:r>
    <w:r>
      <w:rPr>
        <w:sz w:val="18"/>
      </w:rPr>
      <mc:AlternateContent>
        <mc:Choice Requires="wps">
          <w:drawing>
            <wp:anchor distT="0" distB="0" distL="114300" distR="114300" simplePos="0" relativeHeight="251659264" behindDoc="0" locked="0" layoutInCell="1" allowOverlap="1">
              <wp:simplePos x="0" y="0"/>
              <wp:positionH relativeFrom="column">
                <wp:posOffset>-5715</wp:posOffset>
              </wp:positionH>
              <wp:positionV relativeFrom="paragraph">
                <wp:posOffset>181610</wp:posOffset>
              </wp:positionV>
              <wp:extent cx="5276850" cy="9525"/>
              <wp:effectExtent l="0" t="0" r="0" b="0"/>
              <wp:wrapNone/>
              <wp:docPr id="2" name="直接连接符 2"/>
              <wp:cNvGraphicFramePr/>
              <a:graphic xmlns:a="http://schemas.openxmlformats.org/drawingml/2006/main">
                <a:graphicData uri="http://schemas.microsoft.com/office/word/2010/wordprocessingShape">
                  <wps:wsp>
                    <wps:cNvCnPr/>
                    <wps:spPr>
                      <a:xfrm flipV="1">
                        <a:off x="0" y="0"/>
                        <a:ext cx="527685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flip:y;margin-left:-0.45pt;margin-top:14.3pt;height:0.75pt;width:415.5pt;z-index:251659264;mso-width-relative:page;mso-height-relative:page;" filled="f" stroked="t" coordsize="21600,21600" o:gfxdata="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XMaj&#10;MNUAAAAHAQAADwAAAAAAAAABACAAAAAiAAAAZHJzL2Rvd25yZXYueG1sUEsBAhQAFAAAAAgAh07i&#10;QO2lK/zsAQAAvgMAAA4AAAAAAAAAAQAgAAAAJAEAAGRycy9lMm9Eb2MueG1sUEsFBgAAAAAGAAYA&#10;WQEAAIIFAAAAAA==&#10;">
              <v:fill on="f" focussize="0,0"/>
              <v:stroke weight="0.5pt" color="#000000 [3200]" miterlimit="8" joinstyle="miter"/>
              <v:imagedata o:title=""/>
              <o:lock v:ext="edit" aspectratio="f"/>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013927"/>
    <w:multiLevelType w:val="singleLevel"/>
    <w:tmpl w:val="9D013927"/>
    <w:lvl w:ilvl="0" w:tentative="0">
      <w:start w:val="1"/>
      <w:numFmt w:val="bullet"/>
      <w:lvlText w:val=""/>
      <w:lvlJc w:val="left"/>
      <w:pPr>
        <w:ind w:left="42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0NTZlNjQ5NmUzMjY4MmUxNzQ5NjlmM2JiY2ZjOTUifQ=="/>
  </w:docVars>
  <w:rsids>
    <w:rsidRoot w:val="00000000"/>
    <w:rsid w:val="048C259E"/>
    <w:rsid w:val="14C16C70"/>
    <w:rsid w:val="1FE54A0B"/>
    <w:rsid w:val="23331EC6"/>
    <w:rsid w:val="28CF41CB"/>
    <w:rsid w:val="4D55429F"/>
    <w:rsid w:val="51BC636C"/>
    <w:rsid w:val="53A81CCE"/>
    <w:rsid w:val="591A08AA"/>
    <w:rsid w:val="5A727431"/>
    <w:rsid w:val="6143524E"/>
    <w:rsid w:val="6352008A"/>
    <w:rsid w:val="6E977C95"/>
    <w:rsid w:val="769D0B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657</Words>
  <Characters>743</Characters>
  <Lines>0</Lines>
  <Paragraphs>0</Paragraphs>
  <TotalTime>10</TotalTime>
  <ScaleCrop>false</ScaleCrop>
  <LinksUpToDate>false</LinksUpToDate>
  <CharactersWithSpaces>754</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2022-07-25T02:11:00Z</dcterms:created>
  <dc:creator>Administrator</dc:creator>
  <cp:lastModifiedBy>LF</cp:lastModifiedBy>
  <dcterms:modified xsi:type="dcterms:W3CDTF">2023-12-06T07:36:44Z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A9405E7F612F417BA2B2077DB81015F4</vt:lpwstr>
  </property>
</Properties>
</file>